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Εικόνα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rsidP="00890478">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rsidP="00890478">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Λ. Θηβών 196-198, Άγ.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rsidP="00890478">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rsidP="00890478">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rsidTr="00890478">
              <w:tc>
                <w:tcPr>
                  <w:tcW w:w="2668" w:type="dxa"/>
                </w:tcPr>
                <w:p w14:paraId="09CEB5A4" w14:textId="77777777" w:rsidR="00511641" w:rsidRPr="00260B55" w:rsidRDefault="00511641" w:rsidP="00890478">
                  <w:pPr>
                    <w:tabs>
                      <w:tab w:val="center" w:pos="4153"/>
                      <w:tab w:val="right" w:pos="8306"/>
                    </w:tabs>
                    <w:jc w:val="center"/>
                    <w:rPr>
                      <w:rFonts w:asciiTheme="minorHAnsi" w:hAnsiTheme="minorHAnsi" w:cstheme="minorHAnsi"/>
                    </w:rPr>
                  </w:pPr>
                </w:p>
              </w:tc>
            </w:tr>
            <w:tr w:rsidR="00511641" w:rsidRPr="00511641" w14:paraId="75CCBD28" w14:textId="77777777" w:rsidTr="00890478">
              <w:tc>
                <w:tcPr>
                  <w:tcW w:w="2668" w:type="dxa"/>
                </w:tcPr>
                <w:p w14:paraId="5ADA09B4" w14:textId="77777777" w:rsidR="00511641" w:rsidRPr="00260B55" w:rsidRDefault="00511641" w:rsidP="00890478">
                  <w:pPr>
                    <w:tabs>
                      <w:tab w:val="center" w:pos="4153"/>
                      <w:tab w:val="right" w:pos="8306"/>
                    </w:tabs>
                    <w:jc w:val="center"/>
                    <w:rPr>
                      <w:rFonts w:asciiTheme="minorHAnsi" w:hAnsiTheme="minorHAnsi" w:cstheme="minorHAnsi"/>
                      <w:b/>
                      <w:bCs/>
                    </w:rPr>
                  </w:pPr>
                </w:p>
                <w:p w14:paraId="79B32A36" w14:textId="77777777" w:rsidR="00511641" w:rsidRPr="00260B55" w:rsidRDefault="00511641" w:rsidP="00890478">
                  <w:pPr>
                    <w:tabs>
                      <w:tab w:val="center" w:pos="4153"/>
                      <w:tab w:val="right" w:pos="8306"/>
                    </w:tabs>
                    <w:jc w:val="center"/>
                    <w:rPr>
                      <w:rFonts w:asciiTheme="minorHAnsi" w:hAnsiTheme="minorHAnsi" w:cstheme="minorHAnsi"/>
                      <w:b/>
                      <w:bCs/>
                    </w:rPr>
                  </w:pPr>
                </w:p>
                <w:p w14:paraId="69674211" w14:textId="77777777" w:rsidR="00511641" w:rsidRPr="00260B55" w:rsidRDefault="00511641" w:rsidP="00890478">
                  <w:pPr>
                    <w:tabs>
                      <w:tab w:val="center" w:pos="4153"/>
                      <w:tab w:val="right" w:pos="8306"/>
                    </w:tabs>
                    <w:jc w:val="center"/>
                    <w:rPr>
                      <w:rFonts w:asciiTheme="minorHAnsi" w:hAnsiTheme="minorHAnsi" w:cstheme="minorHAnsi"/>
                      <w:b/>
                      <w:bCs/>
                    </w:rPr>
                  </w:pPr>
                </w:p>
                <w:p w14:paraId="395E681C" w14:textId="77777777" w:rsidR="00511641" w:rsidRPr="00260B55" w:rsidRDefault="00511641" w:rsidP="00890478">
                  <w:pPr>
                    <w:tabs>
                      <w:tab w:val="center" w:pos="4153"/>
                      <w:tab w:val="right" w:pos="8306"/>
                    </w:tabs>
                    <w:rPr>
                      <w:rFonts w:asciiTheme="minorHAnsi" w:hAnsiTheme="minorHAnsi" w:cstheme="minorHAnsi"/>
                      <w:b/>
                      <w:bCs/>
                    </w:rPr>
                  </w:pPr>
                </w:p>
              </w:tc>
            </w:tr>
            <w:tr w:rsidR="00511641" w:rsidRPr="00511641" w14:paraId="678611A6" w14:textId="77777777" w:rsidTr="00890478">
              <w:tc>
                <w:tcPr>
                  <w:tcW w:w="2668" w:type="dxa"/>
                </w:tcPr>
                <w:p w14:paraId="4A819035" w14:textId="77777777" w:rsidR="00511641" w:rsidRPr="00260B55" w:rsidRDefault="00511641" w:rsidP="00890478">
                  <w:pPr>
                    <w:tabs>
                      <w:tab w:val="center" w:pos="4153"/>
                      <w:tab w:val="right" w:pos="8306"/>
                    </w:tabs>
                    <w:jc w:val="center"/>
                    <w:rPr>
                      <w:rFonts w:asciiTheme="minorHAnsi" w:hAnsiTheme="minorHAnsi" w:cstheme="minorHAnsi"/>
                    </w:rPr>
                  </w:pPr>
                </w:p>
              </w:tc>
            </w:tr>
          </w:tbl>
          <w:p w14:paraId="1D6009B0" w14:textId="77777777" w:rsidR="00511641" w:rsidRPr="00260B55" w:rsidRDefault="00511641" w:rsidP="00890478">
            <w:pPr>
              <w:tabs>
                <w:tab w:val="center" w:pos="4153"/>
                <w:tab w:val="right" w:pos="8306"/>
              </w:tabs>
              <w:rPr>
                <w:rFonts w:asciiTheme="minorHAnsi" w:hAnsiTheme="minorHAnsi" w:cstheme="minorHAnsi"/>
              </w:rPr>
            </w:pPr>
          </w:p>
          <w:p w14:paraId="08606C7F" w14:textId="496DDB53"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Αγ.Ι.Ρέντης</w:t>
            </w:r>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rsidP="00890478">
            <w:pPr>
              <w:tabs>
                <w:tab w:val="center" w:pos="4153"/>
                <w:tab w:val="right" w:pos="8306"/>
              </w:tabs>
              <w:rPr>
                <w:rFonts w:asciiTheme="minorHAnsi" w:hAnsiTheme="minorHAnsi" w:cstheme="minorHAnsi"/>
              </w:rPr>
            </w:pPr>
          </w:p>
          <w:p w14:paraId="058D14CD" w14:textId="1683E369" w:rsidR="00511641" w:rsidRPr="00511641" w:rsidRDefault="00511641" w:rsidP="00890478">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rsidP="00890478">
            <w:pPr>
              <w:tabs>
                <w:tab w:val="center" w:pos="4153"/>
                <w:tab w:val="right" w:pos="8306"/>
              </w:tabs>
              <w:rPr>
                <w:rFonts w:asciiTheme="minorHAnsi" w:hAnsiTheme="minorHAnsi" w:cstheme="minorHAnsi"/>
              </w:rPr>
            </w:pPr>
          </w:p>
          <w:p w14:paraId="5D3379FF" w14:textId="77777777" w:rsidR="00511641" w:rsidRPr="00511641" w:rsidRDefault="00511641" w:rsidP="00890478">
            <w:pPr>
              <w:tabs>
                <w:tab w:val="center" w:pos="4153"/>
                <w:tab w:val="right" w:pos="8306"/>
              </w:tabs>
              <w:rPr>
                <w:rFonts w:asciiTheme="minorHAnsi" w:hAnsiTheme="minorHAnsi" w:cstheme="minorHAnsi"/>
              </w:rPr>
            </w:pPr>
          </w:p>
          <w:p w14:paraId="1ADC1BF5" w14:textId="77777777" w:rsidR="00511641" w:rsidRPr="00511641" w:rsidRDefault="00511641" w:rsidP="00890478">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Τον ν. 4939/2022 «Κύρωση Κώδικα Νομοθεσίας για την υποδοχή, τη διεθνή προστασία πολιτών τρίτων χωρών και ανιθαγενών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νομάων,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π.δ.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77/2022 «Ίδρυση Κλειστών Ελεγχόμενων Δομών (Κ.Ε.Δ.) και κατάργηση Κέντρων Υποδοχής και Ταυτοποίησης (Κ.Υ.Τ.) - Τροποποίηση του π.δ.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π.δ. 20/2023 «Κατάργηση της Γενικής Διεύθυνσης Συντονισμού και Διαχείρισης Προγραμμάτων Μετανάστευσης και Εσωτερικών Υποθέσεων (Γ.Δ.ΣΥ.Δ.Μ.Ε.Υ.)- Τροποποίηση του π.δ.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π.δ.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75AFCD78"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 xml:space="preserve">Την υπ’αρ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 </w:t>
      </w:r>
    </w:p>
    <w:p w14:paraId="7181AAFC" w14:textId="7C786CF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21A2A640"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Τo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Τη με αριθμ.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αριθμ. πρωτ. ………………………………. πρόσκλησης της ΕΥΔ (ΑΔΑ : …).  (εφόσον αφορά)</w:t>
      </w:r>
    </w:p>
    <w:p w14:paraId="73BDBB02" w14:textId="680EE14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001B5717" w:rsidRPr="00511641">
        <w:rPr>
          <w:rFonts w:asciiTheme="minorHAnsi" w:hAnsiTheme="minorHAnsi" w:cstheme="minorHAnsi"/>
          <w:sz w:val="22"/>
        </w:rPr>
        <w:t xml:space="preserve"> και στην Υποστηρικ</w:t>
      </w:r>
      <w:r w:rsidR="00123C4B" w:rsidRPr="00511641">
        <w:rPr>
          <w:rFonts w:asciiTheme="minorHAnsi" w:hAnsiTheme="minorHAnsi" w:cstheme="minorHAnsi"/>
          <w:sz w:val="22"/>
        </w:rPr>
        <w:t>τική Λίστα</w:t>
      </w:r>
      <w:r w:rsidR="005711B0" w:rsidRPr="00511641">
        <w:rPr>
          <w:rFonts w:asciiTheme="minorHAnsi" w:hAnsiTheme="minorHAnsi" w:cstheme="minorHAnsi"/>
          <w:sz w:val="22"/>
        </w:rPr>
        <w:t xml:space="preserve"> </w:t>
      </w:r>
      <w:r w:rsidR="00372350" w:rsidRPr="00511641">
        <w:rPr>
          <w:rFonts w:asciiTheme="minorHAnsi" w:hAnsiTheme="minorHAnsi" w:cstheme="minorHAnsi"/>
          <w:sz w:val="22"/>
        </w:rPr>
        <w:t>βάσει του Χάρτη Θεμελιωδών Δικαιωμάτων</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rsidP="00EA2CF5">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rsidP="00EA2CF5">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rsidP="00EA2CF5">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rsidP="00EA2CF5">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rsidP="00EA2CF5">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/νται</w:t>
      </w:r>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Στην περίπτωση που έχουν κριθεί (από τη ΔΑ) περισσότερα του ενός υποέργα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υποέργα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lastRenderedPageBreak/>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1308DDD8"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 Cost)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(Unit Cost)-Άμεσες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(Lump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(Flat Rate Financing)</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(Unit Cost)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(Lump Sum) (αα…)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ΚΩΔ. Πράξης ΣΑ (ΚΩΔ. Εναρίθμου)*</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Ενάριθμος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 xml:space="preserve">(Ενάριθμος)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(Ενάριθμος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εναρίθμου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r w:rsidRPr="00511641">
        <w:rPr>
          <w:rStyle w:val="spellingerror"/>
          <w:rFonts w:asciiTheme="minorHAnsi" w:hAnsiTheme="minorHAnsi" w:cstheme="minorHAnsi"/>
          <w:color w:val="000000"/>
          <w:sz w:val="22"/>
          <w:szCs w:val="20"/>
          <w:shd w:val="clear" w:color="auto" w:fill="FFFFFF"/>
        </w:rPr>
        <w:t>υποεκπροσωπούμενου</w:t>
      </w:r>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r w:rsidRPr="00511641">
        <w:rPr>
          <w:rStyle w:val="spellingerror"/>
          <w:rFonts w:asciiTheme="minorHAnsi" w:hAnsiTheme="minorHAnsi" w:cstheme="minorHAnsi"/>
          <w:color w:val="000000"/>
          <w:sz w:val="22"/>
          <w:szCs w:val="20"/>
          <w:shd w:val="clear" w:color="auto" w:fill="FFFFFF"/>
        </w:rPr>
        <w:t>εθνοτικής</w:t>
      </w:r>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(ii)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r w:rsidRPr="00511641">
        <w:rPr>
          <w:rStyle w:val="normaltextrun"/>
          <w:rFonts w:asciiTheme="minorHAnsi" w:hAnsiTheme="minorHAnsi" w:cstheme="minorHAnsi"/>
          <w:sz w:val="22"/>
          <w:szCs w:val="20"/>
        </w:rPr>
        <w:t>ενωσιακή</w:t>
      </w:r>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r w:rsidRPr="00511641">
        <w:rPr>
          <w:rStyle w:val="spellingerror"/>
          <w:rFonts w:asciiTheme="minorHAnsi" w:hAnsiTheme="minorHAnsi" w:cstheme="minorHAnsi"/>
          <w:color w:val="000000"/>
          <w:sz w:val="22"/>
          <w:szCs w:val="20"/>
          <w:shd w:val="clear" w:color="auto" w:fill="FFFFFF"/>
        </w:rPr>
        <w:t>ενωσιακής</w:t>
      </w:r>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r w:rsidRPr="00511641">
        <w:rPr>
          <w:rStyle w:val="spellingerror"/>
          <w:rFonts w:asciiTheme="minorHAnsi" w:hAnsiTheme="minorHAnsi" w:cstheme="minorHAnsi"/>
          <w:color w:val="000000"/>
          <w:sz w:val="22"/>
          <w:szCs w:val="20"/>
          <w:shd w:val="clear" w:color="auto" w:fill="FFFFFF"/>
        </w:rPr>
        <w:t>ιστότοπο</w:t>
      </w:r>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r w:rsidRPr="00511641">
        <w:rPr>
          <w:rStyle w:val="spellingerror"/>
          <w:rFonts w:asciiTheme="minorHAnsi" w:hAnsiTheme="minorHAnsi" w:cstheme="minorHAnsi"/>
          <w:color w:val="000000"/>
          <w:sz w:val="22"/>
          <w:szCs w:val="20"/>
          <w:shd w:val="clear" w:color="auto" w:fill="FFFFFF"/>
        </w:rPr>
        <w:t>ιστότοπους</w:t>
      </w:r>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491828">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1B031" w14:textId="77777777" w:rsidR="008672A2" w:rsidRDefault="008672A2">
      <w:r>
        <w:separator/>
      </w:r>
    </w:p>
    <w:p w14:paraId="74115064" w14:textId="77777777" w:rsidR="008672A2" w:rsidRDefault="008672A2"/>
  </w:endnote>
  <w:endnote w:type="continuationSeparator" w:id="0">
    <w:p w14:paraId="361F065C" w14:textId="77777777" w:rsidR="008672A2" w:rsidRDefault="008672A2">
      <w:r>
        <w:continuationSeparator/>
      </w:r>
    </w:p>
    <w:p w14:paraId="5F43CC17" w14:textId="77777777" w:rsidR="008672A2" w:rsidRDefault="008672A2"/>
  </w:endnote>
  <w:endnote w:type="continuationNotice" w:id="1">
    <w:p w14:paraId="6A94C705" w14:textId="77777777" w:rsidR="008672A2" w:rsidRDefault="00867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Εικόνα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Εικόνα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Ημ.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Εικόνα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Ημ.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01D30" w14:textId="77777777" w:rsidR="008672A2" w:rsidRDefault="008672A2">
      <w:r>
        <w:separator/>
      </w:r>
    </w:p>
    <w:p w14:paraId="426CABF4" w14:textId="77777777" w:rsidR="008672A2" w:rsidRDefault="008672A2"/>
  </w:footnote>
  <w:footnote w:type="continuationSeparator" w:id="0">
    <w:p w14:paraId="4973F8F1" w14:textId="77777777" w:rsidR="008672A2" w:rsidRDefault="008672A2">
      <w:r>
        <w:continuationSeparator/>
      </w:r>
    </w:p>
    <w:p w14:paraId="012202F5" w14:textId="77777777" w:rsidR="008672A2" w:rsidRDefault="008672A2"/>
  </w:footnote>
  <w:footnote w:type="continuationNotice" w:id="1">
    <w:p w14:paraId="4CE2CC8A" w14:textId="77777777" w:rsidR="008672A2" w:rsidRDefault="008672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Εικόνα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0C27"/>
    <w:rsid w:val="00BA29C8"/>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68588362">
          <w:marLeft w:val="0"/>
          <w:marRight w:val="0"/>
          <w:marTop w:val="0"/>
          <w:marBottom w:val="0"/>
          <w:divBdr>
            <w:top w:val="none" w:sz="0" w:space="0" w:color="auto"/>
            <w:left w:val="none" w:sz="0" w:space="0" w:color="auto"/>
            <w:bottom w:val="none" w:sz="0" w:space="0" w:color="auto"/>
            <w:right w:val="none" w:sz="0" w:space="0" w:color="auto"/>
          </w:divBdr>
          <w:divsChild>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575941429">
                      <w:marLeft w:val="0"/>
                      <w:marRight w:val="0"/>
                      <w:marTop w:val="0"/>
                      <w:marBottom w:val="0"/>
                      <w:divBdr>
                        <w:top w:val="none" w:sz="0" w:space="0" w:color="auto"/>
                        <w:left w:val="none" w:sz="0" w:space="0" w:color="auto"/>
                        <w:bottom w:val="none" w:sz="0" w:space="0" w:color="auto"/>
                        <w:right w:val="none" w:sz="0" w:space="0" w:color="auto"/>
                      </w:divBdr>
                      <w:divsChild>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24846260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20687">
              <w:marLeft w:val="0"/>
              <w:marRight w:val="0"/>
              <w:marTop w:val="0"/>
              <w:marBottom w:val="0"/>
              <w:divBdr>
                <w:top w:val="none" w:sz="0" w:space="0" w:color="auto"/>
                <w:left w:val="none" w:sz="0" w:space="0" w:color="auto"/>
                <w:bottom w:val="none" w:sz="0" w:space="0" w:color="auto"/>
                <w:right w:val="none" w:sz="0" w:space="0" w:color="auto"/>
              </w:divBdr>
            </w:div>
          </w:divsChild>
        </w:div>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643727517">
                          <w:marLeft w:val="0"/>
                          <w:marRight w:val="0"/>
                          <w:marTop w:val="0"/>
                          <w:marBottom w:val="0"/>
                          <w:divBdr>
                            <w:top w:val="none" w:sz="0" w:space="0" w:color="auto"/>
                            <w:left w:val="none" w:sz="0" w:space="0" w:color="auto"/>
                            <w:bottom w:val="none" w:sz="0" w:space="0" w:color="auto"/>
                            <w:right w:val="none" w:sz="0" w:space="0" w:color="auto"/>
                          </w:divBdr>
                        </w:div>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sChild>
                    </w:div>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62519">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5412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2103143785">
          <w:marLeft w:val="0"/>
          <w:marRight w:val="0"/>
          <w:marTop w:val="0"/>
          <w:marBottom w:val="0"/>
          <w:divBdr>
            <w:top w:val="none" w:sz="0" w:space="0" w:color="auto"/>
            <w:left w:val="none" w:sz="0" w:space="0" w:color="auto"/>
            <w:bottom w:val="none" w:sz="0" w:space="0" w:color="auto"/>
            <w:right w:val="none" w:sz="0" w:space="0" w:color="auto"/>
          </w:divBdr>
          <w:divsChild>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338043346">
                      <w:marLeft w:val="0"/>
                      <w:marRight w:val="0"/>
                      <w:marTop w:val="0"/>
                      <w:marBottom w:val="0"/>
                      <w:divBdr>
                        <w:top w:val="none" w:sz="0" w:space="0" w:color="auto"/>
                        <w:left w:val="none" w:sz="0" w:space="0" w:color="auto"/>
                        <w:bottom w:val="none" w:sz="0" w:space="0" w:color="auto"/>
                        <w:right w:val="none" w:sz="0" w:space="0" w:color="auto"/>
                      </w:divBdr>
                      <w:divsChild>
                        <w:div w:id="1464613799">
                          <w:marLeft w:val="0"/>
                          <w:marRight w:val="0"/>
                          <w:marTop w:val="0"/>
                          <w:marBottom w:val="0"/>
                          <w:divBdr>
                            <w:top w:val="none" w:sz="0" w:space="0" w:color="auto"/>
                            <w:left w:val="none" w:sz="0" w:space="0" w:color="auto"/>
                            <w:bottom w:val="none" w:sz="0" w:space="0" w:color="auto"/>
                            <w:right w:val="none" w:sz="0" w:space="0" w:color="auto"/>
                          </w:divBdr>
                        </w:div>
                        <w:div w:id="175460460">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4275">
              <w:marLeft w:val="0"/>
              <w:marRight w:val="0"/>
              <w:marTop w:val="0"/>
              <w:marBottom w:val="0"/>
              <w:divBdr>
                <w:top w:val="none" w:sz="0" w:space="0" w:color="auto"/>
                <w:left w:val="none" w:sz="0" w:space="0" w:color="auto"/>
                <w:bottom w:val="none" w:sz="0" w:space="0" w:color="auto"/>
                <w:right w:val="none" w:sz="0" w:space="0" w:color="auto"/>
              </w:divBdr>
            </w:div>
          </w:divsChild>
        </w:div>
        <w:div w:id="1100223896">
          <w:marLeft w:val="0"/>
          <w:marRight w:val="0"/>
          <w:marTop w:val="0"/>
          <w:marBottom w:val="0"/>
          <w:divBdr>
            <w:top w:val="none" w:sz="0" w:space="0" w:color="auto"/>
            <w:left w:val="none" w:sz="0" w:space="0" w:color="auto"/>
            <w:bottom w:val="none" w:sz="0" w:space="0" w:color="auto"/>
            <w:right w:val="none" w:sz="0" w:space="0" w:color="auto"/>
          </w:divBdr>
          <w:divsChild>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185437043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28928511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251224">
              <w:marLeft w:val="0"/>
              <w:marRight w:val="0"/>
              <w:marTop w:val="0"/>
              <w:marBottom w:val="0"/>
              <w:divBdr>
                <w:top w:val="none" w:sz="0" w:space="0" w:color="auto"/>
                <w:left w:val="none" w:sz="0" w:space="0" w:color="auto"/>
                <w:bottom w:val="none" w:sz="0" w:space="0" w:color="auto"/>
                <w:right w:val="none" w:sz="0" w:space="0" w:color="auto"/>
              </w:divBdr>
            </w:div>
            <w:div w:id="1115979676">
              <w:marLeft w:val="0"/>
              <w:marRight w:val="0"/>
              <w:marTop w:val="0"/>
              <w:marBottom w:val="0"/>
              <w:divBdr>
                <w:top w:val="none" w:sz="0" w:space="0" w:color="auto"/>
                <w:left w:val="none" w:sz="0" w:space="0" w:color="auto"/>
                <w:bottom w:val="none" w:sz="0" w:space="0" w:color="auto"/>
                <w:right w:val="none" w:sz="0" w:space="0" w:color="auto"/>
              </w:divBdr>
            </w:div>
            <w:div w:id="722482816">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4.xml><?xml version="1.0" encoding="utf-8"?>
<ds:datastoreItem xmlns:ds="http://schemas.openxmlformats.org/officeDocument/2006/customXml" ds:itemID="{F580E020-CCF0-4667-8228-1761C96DE66B}"/>
</file>

<file path=docProps/app.xml><?xml version="1.0" encoding="utf-8"?>
<Properties xmlns="http://schemas.openxmlformats.org/officeDocument/2006/extended-properties" xmlns:vt="http://schemas.openxmlformats.org/officeDocument/2006/docPropsVTypes">
  <Template>Normal</Template>
  <TotalTime>15</TotalTime>
  <Pages>17</Pages>
  <Words>5364</Words>
  <Characters>28967</Characters>
  <Application>Microsoft Office Word</Application>
  <DocSecurity>0</DocSecurity>
  <Lines>241</Lines>
  <Paragraphs>68</Paragraphs>
  <ScaleCrop>false</ScaleCrop>
  <Company>Uknown</Company>
  <LinksUpToDate>false</LinksUpToDate>
  <CharactersWithSpaces>34263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Ευαγγελία Καπινιάρη</cp:lastModifiedBy>
  <cp:revision>35</cp:revision>
  <cp:lastPrinted>2022-11-15T02:54:00Z</cp:lastPrinted>
  <dcterms:created xsi:type="dcterms:W3CDTF">2023-05-29T13:24:00Z</dcterms:created>
  <dcterms:modified xsi:type="dcterms:W3CDTF">2023-08-03T10:09:00Z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