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AEFBB747-69A3-4A15-94C7-0439F364DD46}"/>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