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7" ma:contentTypeDescription="Δημιουργία νέου εγγράφου" ma:contentTypeScope="" ma:versionID="3afa728d2454591d4314abe308e15f78">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d99405369e632545623a7d5ebe958fd"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9257AF69-F289-42C7-A8E4-35068AB22290}"/>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