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7" ma:contentTypeDescription="Δημιουργία νέου εγγράφου" ma:contentTypeScope="" ma:versionID="3afa728d2454591d4314abe308e15f78">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d99405369e632545623a7d5ebe958fd"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0DA6A4B5-A7B0-4A34-A466-78F8EF9460D0}"/>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