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4B9C3021-E245-4104-9641-DAAFF1081A2A}"/>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