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144E00-2AF1-4C42-9C20-D9BA73FF3531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