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9AEFA640-45D4-4466-8DCC-3C16E448B813}"/>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