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3A33E0EA">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4D1D64D9" w:rsidR="004A3EA3" w:rsidRPr="00F6018B" w:rsidRDefault="004A3EA3" w:rsidP="001E042E">
            <w:pPr>
              <w:ind w:left="839"/>
              <w:rPr>
                <w:rFonts w:ascii="Verdana" w:hAnsi="Verdana"/>
              </w:rPr>
            </w:pP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3A33E0EA">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3A33E0EA">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52A31E30" w:rsidR="0073680C" w:rsidRPr="00842F7E" w:rsidRDefault="00A11D41" w:rsidP="00EE7A37">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1F5F67C5" w14:textId="2DCDF3C8" w:rsidR="00876466" w:rsidRDefault="00BD54D3" w:rsidP="226A52E3">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14:paraId="03A27D63" w14:textId="4E4BF25C" w:rsidR="00C93701" w:rsidRPr="00C93701" w:rsidRDefault="00C93701" w:rsidP="77CB1F8B">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350DBF89" w:rsidRPr="77CB1F8B">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14:paraId="7F5D5904" w14:textId="6B11DB25" w:rsidR="0071770E" w:rsidRPr="0071770E" w:rsidRDefault="0071770E" w:rsidP="0071770E">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14:paraId="2B62346B" w14:textId="63BD9E8D"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14:paraId="2DCCCC18" w14:textId="2B462221" w:rsidR="00A972BF" w:rsidRPr="00FB0C19" w:rsidRDefault="00A972BF" w:rsidP="00CD43B4">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0012140C" w:rsidRPr="77CB1F8B">
        <w:rPr>
          <w:rFonts w:ascii="Tahoma" w:hAnsi="Tahoma" w:cs="Tahoma"/>
        </w:rPr>
        <w:t>_____/__.__._____</w:t>
      </w:r>
      <w:r w:rsidRPr="77CB1F8B">
        <w:rPr>
          <w:rFonts w:ascii="Tahoma" w:hAnsi="Tahoma" w:cs="Tahoma"/>
        </w:rPr>
        <w:t xml:space="preserve"> απόφαση με την οποία εγκρίθηκαν η </w:t>
      </w:r>
      <w:r w:rsidR="0012140C" w:rsidRPr="77CB1F8B">
        <w:rPr>
          <w:rFonts w:ascii="Tahoma" w:hAnsi="Tahoma" w:cs="Tahoma"/>
        </w:rPr>
        <w:t>__</w:t>
      </w:r>
      <w:r w:rsidR="00A76BEE" w:rsidRPr="77CB1F8B">
        <w:rPr>
          <w:rFonts w:ascii="Tahoma" w:hAnsi="Tahoma" w:cs="Tahoma"/>
          <w:vertAlign w:val="superscript"/>
        </w:rPr>
        <w:t>η</w:t>
      </w:r>
      <w:r w:rsidR="00A76BEE" w:rsidRPr="77CB1F8B">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14:paraId="506FA612" w14:textId="6994BB62" w:rsidR="003E2D76" w:rsidRPr="00C93701" w:rsidRDefault="003E2D76"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001B5717" w:rsidRPr="77CB1F8B">
        <w:rPr>
          <w:rFonts w:ascii="Tahoma" w:hAnsi="Tahoma" w:cs="Tahoma"/>
        </w:rPr>
        <w:t xml:space="preserve">’ </w:t>
      </w:r>
      <w:r w:rsidRPr="77CB1F8B">
        <w:rPr>
          <w:rFonts w:ascii="Tahoma" w:hAnsi="Tahoma" w:cs="Tahoma"/>
        </w:rPr>
        <w:t xml:space="preserve">αρ. </w:t>
      </w:r>
      <w:r w:rsidR="00877EAA" w:rsidRPr="77CB1F8B">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77CB1F8B">
        <w:rPr>
          <w:rFonts w:ascii="Tahoma" w:hAnsi="Tahoma" w:cs="Tahoma"/>
        </w:rPr>
        <w:t>ένο στην πρόσκληση έγγραφο</w:t>
      </w:r>
      <w:r w:rsidRPr="77CB1F8B">
        <w:rPr>
          <w:rFonts w:ascii="Tahoma" w:hAnsi="Tahoma" w:cs="Tahoma"/>
        </w:rPr>
        <w:t>.</w:t>
      </w:r>
    </w:p>
    <w:p w14:paraId="288620AE" w14:textId="0481C111" w:rsidR="00C93701" w:rsidRPr="00C93701" w:rsidRDefault="00C93701" w:rsidP="00731E18">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001B5717" w:rsidRPr="77CB1F8B">
        <w:rPr>
          <w:rFonts w:ascii="Tahoma" w:hAnsi="Tahoma" w:cs="Tahoma"/>
        </w:rPr>
        <w:t>Ε.Υ.ΣΥ.Δ.-Μ.Ε.Υ. με τίτλο</w:t>
      </w:r>
      <w:r w:rsidRPr="77CB1F8B">
        <w:rPr>
          <w:rFonts w:ascii="Tahoma" w:hAnsi="Tahoma" w:cs="Tahoma"/>
        </w:rPr>
        <w:t xml:space="preserve"> «…………»  για την υποβολή προτάσεων στο πλαίσιο </w:t>
      </w:r>
      <w:r w:rsidR="001B5717" w:rsidRPr="77CB1F8B">
        <w:rPr>
          <w:rFonts w:ascii="Tahoma" w:hAnsi="Tahoma" w:cs="Tahoma"/>
        </w:rPr>
        <w:t>του Προγράμματος «</w:t>
      </w:r>
      <w:r w:rsidRPr="77CB1F8B">
        <w:rPr>
          <w:rFonts w:ascii="Tahoma" w:hAnsi="Tahoma" w:cs="Tahoma"/>
        </w:rPr>
        <w:t>…...</w:t>
      </w:r>
      <w:r w:rsidR="001B5717" w:rsidRPr="77CB1F8B">
        <w:rPr>
          <w:rFonts w:ascii="Tahoma" w:hAnsi="Tahoma" w:cs="Tahoma"/>
        </w:rPr>
        <w:t>»</w:t>
      </w:r>
      <w:r w:rsidR="005711B0" w:rsidRPr="77CB1F8B">
        <w:rPr>
          <w:rFonts w:ascii="Tahoma" w:hAnsi="Tahoma" w:cs="Tahoma"/>
        </w:rPr>
        <w:t xml:space="preserve"> της Προγραμματικής Περιόδου 2021-2027</w:t>
      </w:r>
      <w:r w:rsidR="001B5717" w:rsidRPr="77CB1F8B">
        <w:rPr>
          <w:rFonts w:ascii="Tahoma" w:hAnsi="Tahoma" w:cs="Tahoma"/>
        </w:rPr>
        <w:t xml:space="preserve">. </w:t>
      </w:r>
      <w:r w:rsidRPr="77CB1F8B">
        <w:rPr>
          <w:rFonts w:ascii="Tahoma" w:hAnsi="Tahoma" w:cs="Tahoma"/>
        </w:rPr>
        <w:t xml:space="preserve"> </w:t>
      </w:r>
    </w:p>
    <w:p w14:paraId="3CA07BE4" w14:textId="4694F1EE"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001B5717" w:rsidRPr="77CB1F8B">
        <w:rPr>
          <w:rFonts w:ascii="Tahoma" w:hAnsi="Tahoma" w:cs="Tahoma"/>
        </w:rPr>
        <w:t>φορέα «</w:t>
      </w:r>
      <w:r w:rsidRPr="77CB1F8B">
        <w:rPr>
          <w:rFonts w:ascii="Tahoma" w:hAnsi="Tahoma" w:cs="Tahoma"/>
        </w:rPr>
        <w:t>…………………….</w:t>
      </w:r>
      <w:r w:rsidR="001B5717" w:rsidRPr="77CB1F8B">
        <w:rPr>
          <w:rFonts w:ascii="Tahoma" w:hAnsi="Tahoma" w:cs="Tahoma"/>
        </w:rPr>
        <w:t>»</w:t>
      </w:r>
      <w:r w:rsidRPr="77CB1F8B">
        <w:rPr>
          <w:rFonts w:ascii="Tahoma" w:hAnsi="Tahoma" w:cs="Tahoma"/>
        </w:rPr>
        <w:t xml:space="preserve"> προς την </w:t>
      </w:r>
      <w:r w:rsidR="001B5717" w:rsidRPr="77CB1F8B">
        <w:rPr>
          <w:rFonts w:ascii="Tahoma" w:hAnsi="Tahoma" w:cs="Tahoma"/>
        </w:rPr>
        <w:t xml:space="preserve">Ε.Υ.ΣΥ.Δ.-Μ.Ε.Υ. </w:t>
      </w:r>
      <w:r w:rsidRPr="77CB1F8B">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00372350" w:rsidRPr="77CB1F8B">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00E423D4" w:rsidRPr="77CB1F8B">
        <w:rPr>
          <w:rFonts w:ascii="Tahoma" w:hAnsi="Tahoma" w:cs="Tahoma"/>
        </w:rPr>
        <w:t>(</w:t>
      </w:r>
      <w:r w:rsidR="00E423D4" w:rsidRPr="77CB1F8B">
        <w:rPr>
          <w:rFonts w:ascii="Tahoma" w:hAnsi="Tahoma" w:cs="Tahoma"/>
          <w:i/>
          <w:iCs/>
        </w:rPr>
        <w:t xml:space="preserve">στον Πίνακα </w:t>
      </w:r>
      <w:r w:rsidR="00E423D4" w:rsidRPr="77CB1F8B">
        <w:rPr>
          <w:rFonts w:ascii="Tahoma" w:hAnsi="Tahoma" w:cs="Tahoma"/>
          <w:i/>
          <w:iCs/>
        </w:rPr>
        <w:lastRenderedPageBreak/>
        <w:t>Κατάταξης των προτάσεων που έχουν αξιολογηθεί</w:t>
      </w:r>
      <w:r w:rsidR="00372350" w:rsidRPr="77CB1F8B">
        <w:rPr>
          <w:rFonts w:ascii="Tahoma" w:hAnsi="Tahoma" w:cs="Tahoma"/>
        </w:rPr>
        <w:t xml:space="preserve"> –</w:t>
      </w:r>
      <w:r w:rsidR="00A546C4" w:rsidRPr="77CB1F8B">
        <w:rPr>
          <w:rFonts w:ascii="Tahoma" w:hAnsi="Tahoma" w:cs="Tahoma"/>
        </w:rPr>
        <w:t xml:space="preserve"> </w:t>
      </w:r>
      <w:r w:rsidR="00A546C4" w:rsidRPr="77CB1F8B">
        <w:rPr>
          <w:rFonts w:ascii="Tahoma" w:hAnsi="Tahoma" w:cs="Tahoma"/>
          <w:i/>
          <w:iCs/>
        </w:rPr>
        <w:t>σε περίπτωση χρήσης της μεθόδου συγκριτικής αξιολόγησης</w:t>
      </w:r>
      <w:r w:rsidR="00E423D4" w:rsidRPr="77CB1F8B">
        <w:rPr>
          <w:rFonts w:ascii="Tahoma" w:hAnsi="Tahoma" w:cs="Tahoma"/>
        </w:rPr>
        <w:t xml:space="preserve">), </w:t>
      </w:r>
      <w:r w:rsidR="001A11A9" w:rsidRPr="77CB1F8B">
        <w:rPr>
          <w:rFonts w:ascii="Tahoma" w:hAnsi="Tahoma" w:cs="Tahoma"/>
        </w:rPr>
        <w:t>στη Λίστα Ελέγχου</w:t>
      </w:r>
      <w:r w:rsidR="00D80DDF" w:rsidRPr="77CB1F8B">
        <w:rPr>
          <w:rFonts w:ascii="Tahoma" w:hAnsi="Tahoma" w:cs="Tahoma"/>
        </w:rPr>
        <w:t xml:space="preserve"> Πληρότητας </w:t>
      </w:r>
      <w:r w:rsidR="00AB76D2" w:rsidRPr="77CB1F8B">
        <w:rPr>
          <w:rFonts w:ascii="Tahoma" w:hAnsi="Tahoma" w:cs="Tahoma"/>
        </w:rPr>
        <w:t>– Επιλεξιμότητας</w:t>
      </w:r>
      <w:r w:rsidR="001B5717" w:rsidRPr="77CB1F8B">
        <w:rPr>
          <w:rFonts w:ascii="Tahoma" w:hAnsi="Tahoma" w:cs="Tahoma"/>
        </w:rPr>
        <w:t xml:space="preserve">, </w:t>
      </w:r>
      <w:r w:rsidRPr="77CB1F8B">
        <w:rPr>
          <w:rFonts w:ascii="Tahoma" w:hAnsi="Tahoma" w:cs="Tahoma"/>
        </w:rPr>
        <w:t xml:space="preserve">στο Φύλλο </w:t>
      </w:r>
      <w:r w:rsidR="00A20BF9" w:rsidRPr="77CB1F8B">
        <w:rPr>
          <w:rFonts w:ascii="Tahoma" w:hAnsi="Tahoma" w:cs="Tahoma"/>
        </w:rPr>
        <w:t>Αξιολόγησης Πράξης</w:t>
      </w:r>
      <w:r w:rsidR="001B5717" w:rsidRPr="77CB1F8B">
        <w:rPr>
          <w:rFonts w:ascii="Tahoma" w:hAnsi="Tahoma" w:cs="Tahoma"/>
        </w:rPr>
        <w:t xml:space="preserve"> και στην Υποστηρικ</w:t>
      </w:r>
      <w:r w:rsidR="00123C4B" w:rsidRPr="77CB1F8B">
        <w:rPr>
          <w:rFonts w:ascii="Tahoma" w:hAnsi="Tahoma" w:cs="Tahoma"/>
        </w:rPr>
        <w:t>τική Λίστα</w:t>
      </w:r>
      <w:r w:rsidR="005711B0" w:rsidRPr="77CB1F8B">
        <w:rPr>
          <w:rFonts w:ascii="Tahoma" w:hAnsi="Tahoma" w:cs="Tahoma"/>
        </w:rPr>
        <w:t xml:space="preserve"> </w:t>
      </w:r>
      <w:r w:rsidR="00372350" w:rsidRPr="77CB1F8B">
        <w:rPr>
          <w:rFonts w:ascii="Tahoma" w:hAnsi="Tahoma" w:cs="Tahoma"/>
        </w:rPr>
        <w:t>βάσει του Χάρτη Θεμελιωδών Δικαιωμάτων</w:t>
      </w:r>
      <w:r w:rsidRPr="77CB1F8B">
        <w:rPr>
          <w:rFonts w:ascii="Tahoma" w:hAnsi="Tahoma" w:cs="Tahoma"/>
        </w:rPr>
        <w:t>,</w:t>
      </w:r>
    </w:p>
    <w:p w14:paraId="50BC2C1E" w14:textId="5C0482E3" w:rsidR="00C93701" w:rsidRPr="00C93701" w:rsidRDefault="00C93701" w:rsidP="00C9370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2"/>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00FA2ACD" w:rsidR="00FC1C07" w:rsidRDefault="00A11D41" w:rsidP="00FC1C07">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14:paraId="081507B4" w14:textId="77777777" w:rsidR="003A6273"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3"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4"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04611CCD" w14:textId="408B3DD8" w:rsidR="00B17255" w:rsidRPr="003E6CF5" w:rsidRDefault="00B65F0F" w:rsidP="3A33E0EA">
      <w:pPr>
        <w:pStyle w:val="paragraph"/>
        <w:spacing w:before="0" w:beforeAutospacing="0" w:after="120" w:afterAutospacing="0"/>
        <w:ind w:left="360"/>
        <w:jc w:val="both"/>
        <w:textAlignment w:val="baseline"/>
        <w:rPr>
          <w:rFonts w:ascii="Arial" w:eastAsia="Arial" w:hAnsi="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534C1CF1" w:rsidRPr="3A33E0EA">
        <w:rPr>
          <w:rFonts w:ascii="Arial" w:eastAsia="Arial" w:hAnsi="Arial" w:cs="Arial"/>
          <w:color w:val="000000" w:themeColor="text1"/>
          <w:sz w:val="16"/>
          <w:szCs w:val="16"/>
        </w:rPr>
        <w:t>[Κατά την Ένταξη συμπληρώνονται:</w:t>
      </w:r>
    </w:p>
    <w:p w14:paraId="0F2C1A88" w14:textId="47844057" w:rsidR="00B17255" w:rsidRPr="003E6CF5" w:rsidRDefault="534C1CF1" w:rsidP="3A33E0EA">
      <w:pPr>
        <w:pStyle w:val="paragraph"/>
        <w:spacing w:before="0" w:beforeAutospacing="0" w:after="120" w:afterAutospacing="0"/>
        <w:jc w:val="both"/>
        <w:rPr>
          <w:rFonts w:ascii="Arial" w:eastAsia="Arial" w:hAnsi="Arial" w:cs="Arial"/>
          <w:color w:val="000000" w:themeColor="text1"/>
          <w:sz w:val="16"/>
          <w:szCs w:val="16"/>
        </w:rPr>
      </w:pPr>
      <w:r w:rsidRPr="3A33E0EA">
        <w:rPr>
          <w:rFonts w:ascii="Arial" w:eastAsia="Arial" w:hAnsi="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F559665" w14:textId="766FBE5A" w:rsidR="00B17255" w:rsidRPr="003E6CF5" w:rsidRDefault="534C1CF1" w:rsidP="3A33E0EA">
      <w:pPr>
        <w:pStyle w:val="paragraph"/>
        <w:spacing w:before="0" w:beforeAutospacing="0" w:after="120" w:afterAutospacing="0"/>
        <w:jc w:val="both"/>
        <w:rPr>
          <w:rFonts w:ascii="Arial" w:eastAsia="Arial" w:hAnsi="Arial" w:cs="Arial"/>
          <w:color w:val="000000" w:themeColor="text1"/>
          <w:sz w:val="16"/>
          <w:szCs w:val="16"/>
        </w:rPr>
      </w:pPr>
      <w:r w:rsidRPr="3A33E0EA">
        <w:rPr>
          <w:rFonts w:ascii="Arial" w:eastAsia="Arial" w:hAnsi="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eastAsia="Arial" w:hAnsi="Arial" w:cs="Arial"/>
          <w:color w:val="000000" w:themeColor="text1"/>
          <w:sz w:val="16"/>
          <w:szCs w:val="16"/>
        </w:rPr>
        <w:t>κλπ</w:t>
      </w:r>
      <w:proofErr w:type="spellEnd"/>
      <w:r w:rsidRPr="3A33E0EA">
        <w:rPr>
          <w:rFonts w:ascii="Arial" w:eastAsia="Arial" w:hAnsi="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14:paraId="2C549305" w14:textId="65EACF68" w:rsidR="00B17255" w:rsidRPr="003E6CF5" w:rsidRDefault="00B17255" w:rsidP="3A33E0EA">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00B17255" w:rsidRPr="003E6CF5" w:rsidSect="00491828">
      <w:headerReference w:type="default" r:id="rId15"/>
      <w:footerReference w:type="even" r:id="rId16"/>
      <w:footerReference w:type="default" r:id="rId17"/>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B3F0A" w14:textId="77777777" w:rsidR="00E9034C" w:rsidRDefault="00E9034C">
      <w:r>
        <w:separator/>
      </w:r>
    </w:p>
    <w:p w14:paraId="446E5EA4" w14:textId="77777777" w:rsidR="00E9034C" w:rsidRDefault="00E9034C"/>
  </w:endnote>
  <w:endnote w:type="continuationSeparator" w:id="0">
    <w:p w14:paraId="5BBAFB05" w14:textId="77777777" w:rsidR="00E9034C" w:rsidRDefault="00E9034C">
      <w:r>
        <w:continuationSeparator/>
      </w:r>
    </w:p>
    <w:p w14:paraId="2F3CCE6D" w14:textId="77777777" w:rsidR="00E9034C" w:rsidRDefault="00E9034C"/>
  </w:endnote>
  <w:endnote w:type="continuationNotice" w:id="1">
    <w:p w14:paraId="7537FA5C" w14:textId="77777777" w:rsidR="00E9034C" w:rsidRDefault="00E90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4" w:type="dxa"/>
      <w:jc w:val="center"/>
      <w:tblBorders>
        <w:top w:val="single" w:sz="4" w:space="0" w:color="auto"/>
      </w:tblBorders>
      <w:tblLook w:val="01E0" w:firstRow="1" w:lastRow="1" w:firstColumn="1" w:lastColumn="1" w:noHBand="0" w:noVBand="0"/>
    </w:tblPr>
    <w:tblGrid>
      <w:gridCol w:w="2677"/>
      <w:gridCol w:w="5218"/>
      <w:gridCol w:w="1339"/>
    </w:tblGrid>
    <w:tr w:rsidR="00FB0C19" w:rsidRPr="00CB47BE" w14:paraId="55511A74" w14:textId="77777777" w:rsidTr="009B392D">
      <w:trPr>
        <w:jc w:val="center"/>
      </w:trPr>
      <w:tc>
        <w:tcPr>
          <w:tcW w:w="2835"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14:paraId="6E072EC7" w14:textId="3DD7F1D0" w:rsidR="00FB0C19" w:rsidRPr="00F65043" w:rsidRDefault="009B392D" w:rsidP="009B392D">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14:paraId="249A7A43" w14:textId="55DF8DF0" w:rsidR="00FB0C19" w:rsidRPr="00CB47BE" w:rsidRDefault="009B392D" w:rsidP="00FB0C19">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00094978" w:rsidRPr="00094978">
            <w:rPr>
              <w:rFonts w:ascii="Tahoma" w:hAnsi="Tahoma" w:cs="Tahoma"/>
              <w:bCs/>
              <w:sz w:val="16"/>
              <w:szCs w:val="16"/>
              <w:lang w:val="en-US"/>
            </w:rPr>
            <w:fldChar w:fldCharType="begin"/>
          </w:r>
          <w:r w:rsidR="00094978" w:rsidRPr="00094978">
            <w:rPr>
              <w:rFonts w:ascii="Tahoma" w:hAnsi="Tahoma" w:cs="Tahoma"/>
              <w:bCs/>
              <w:sz w:val="16"/>
              <w:szCs w:val="16"/>
              <w:lang w:val="en-US"/>
            </w:rPr>
            <w:instrText>PAGE   \* MERGEFORMAT</w:instrText>
          </w:r>
          <w:r w:rsidR="00094978" w:rsidRPr="00094978">
            <w:rPr>
              <w:rFonts w:ascii="Tahoma" w:hAnsi="Tahoma" w:cs="Tahoma"/>
              <w:bCs/>
              <w:sz w:val="16"/>
              <w:szCs w:val="16"/>
              <w:lang w:val="en-US"/>
            </w:rPr>
            <w:fldChar w:fldCharType="separate"/>
          </w:r>
          <w:r w:rsidR="00094978" w:rsidRPr="00094978">
            <w:rPr>
              <w:rFonts w:ascii="Tahoma" w:hAnsi="Tahoma" w:cs="Tahoma"/>
              <w:bCs/>
              <w:sz w:val="16"/>
              <w:szCs w:val="16"/>
              <w:lang w:val="en-US"/>
            </w:rPr>
            <w:t>1</w:t>
          </w:r>
          <w:r w:rsidR="00094978" w:rsidRPr="00094978">
            <w:rPr>
              <w:rFonts w:ascii="Tahoma" w:hAnsi="Tahoma" w:cs="Tahoma"/>
              <w:bCs/>
              <w:sz w:val="16"/>
              <w:szCs w:val="16"/>
              <w:lang w:val="en-US"/>
            </w:rPr>
            <w:fldChar w:fldCharType="end"/>
          </w: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432"/>
      <w:gridCol w:w="4791"/>
      <w:gridCol w:w="180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2B673E1E" w:rsidR="00491828" w:rsidRPr="00F65043" w:rsidRDefault="00787CD7" w:rsidP="00491828">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14:paraId="23F8A379" w14:textId="7233B9F6" w:rsidR="00491828" w:rsidRPr="00094978" w:rsidRDefault="00787CD7" w:rsidP="00491828">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DF2A" w14:textId="77777777" w:rsidR="00E9034C" w:rsidRDefault="00E9034C">
      <w:r>
        <w:separator/>
      </w:r>
    </w:p>
    <w:p w14:paraId="3AB2136B" w14:textId="77777777" w:rsidR="00E9034C" w:rsidRDefault="00E9034C"/>
  </w:footnote>
  <w:footnote w:type="continuationSeparator" w:id="0">
    <w:p w14:paraId="7A7FCBF9" w14:textId="77777777" w:rsidR="00E9034C" w:rsidRDefault="00E9034C">
      <w:r>
        <w:continuationSeparator/>
      </w:r>
    </w:p>
    <w:p w14:paraId="13C11090" w14:textId="77777777" w:rsidR="00E9034C" w:rsidRDefault="00E9034C"/>
  </w:footnote>
  <w:footnote w:type="continuationNotice" w:id="1">
    <w:p w14:paraId="08607421" w14:textId="77777777" w:rsidR="00E9034C" w:rsidRDefault="00E903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ascii="Symbol" w:hAnsi="Symbol" w:hint="default"/>
      </w:rPr>
    </w:lvl>
    <w:lvl w:ilvl="1" w:tplc="6CB48D44">
      <w:start w:val="1"/>
      <w:numFmt w:val="bullet"/>
      <w:lvlText w:val="o"/>
      <w:lvlJc w:val="left"/>
      <w:pPr>
        <w:ind w:left="1440" w:hanging="360"/>
      </w:pPr>
      <w:rPr>
        <w:rFonts w:ascii="Courier New" w:hAnsi="Courier New" w:hint="default"/>
      </w:rPr>
    </w:lvl>
    <w:lvl w:ilvl="2" w:tplc="CEBCBB24">
      <w:start w:val="1"/>
      <w:numFmt w:val="bullet"/>
      <w:lvlText w:val=""/>
      <w:lvlJc w:val="left"/>
      <w:pPr>
        <w:ind w:left="2160" w:hanging="360"/>
      </w:pPr>
      <w:rPr>
        <w:rFonts w:ascii="Wingdings" w:hAnsi="Wingdings" w:hint="default"/>
      </w:rPr>
    </w:lvl>
    <w:lvl w:ilvl="3" w:tplc="F31C0356">
      <w:start w:val="1"/>
      <w:numFmt w:val="bullet"/>
      <w:lvlText w:val=""/>
      <w:lvlJc w:val="left"/>
      <w:pPr>
        <w:ind w:left="2880" w:hanging="360"/>
      </w:pPr>
      <w:rPr>
        <w:rFonts w:ascii="Symbol" w:hAnsi="Symbol" w:hint="default"/>
      </w:rPr>
    </w:lvl>
    <w:lvl w:ilvl="4" w:tplc="4D6694F0">
      <w:start w:val="1"/>
      <w:numFmt w:val="bullet"/>
      <w:lvlText w:val="o"/>
      <w:lvlJc w:val="left"/>
      <w:pPr>
        <w:ind w:left="3600" w:hanging="360"/>
      </w:pPr>
      <w:rPr>
        <w:rFonts w:ascii="Courier New" w:hAnsi="Courier New" w:hint="default"/>
      </w:rPr>
    </w:lvl>
    <w:lvl w:ilvl="5" w:tplc="3D241516">
      <w:start w:val="1"/>
      <w:numFmt w:val="bullet"/>
      <w:lvlText w:val=""/>
      <w:lvlJc w:val="left"/>
      <w:pPr>
        <w:ind w:left="4320" w:hanging="360"/>
      </w:pPr>
      <w:rPr>
        <w:rFonts w:ascii="Wingdings" w:hAnsi="Wingdings" w:hint="default"/>
      </w:rPr>
    </w:lvl>
    <w:lvl w:ilvl="6" w:tplc="47DC3C66">
      <w:start w:val="1"/>
      <w:numFmt w:val="bullet"/>
      <w:lvlText w:val=""/>
      <w:lvlJc w:val="left"/>
      <w:pPr>
        <w:ind w:left="5040" w:hanging="360"/>
      </w:pPr>
      <w:rPr>
        <w:rFonts w:ascii="Symbol" w:hAnsi="Symbol" w:hint="default"/>
      </w:rPr>
    </w:lvl>
    <w:lvl w:ilvl="7" w:tplc="7FF41ECA">
      <w:start w:val="1"/>
      <w:numFmt w:val="bullet"/>
      <w:lvlText w:val="o"/>
      <w:lvlJc w:val="left"/>
      <w:pPr>
        <w:ind w:left="5760" w:hanging="360"/>
      </w:pPr>
      <w:rPr>
        <w:rFonts w:ascii="Courier New" w:hAnsi="Courier New" w:hint="default"/>
      </w:rPr>
    </w:lvl>
    <w:lvl w:ilvl="8" w:tplc="AF96AAFA">
      <w:start w:val="1"/>
      <w:numFmt w:val="bullet"/>
      <w:lvlText w:val=""/>
      <w:lvlJc w:val="left"/>
      <w:pPr>
        <w:ind w:left="6480" w:hanging="360"/>
      </w:pPr>
      <w:rPr>
        <w:rFonts w:ascii="Wingdings" w:hAnsi="Wingdings" w:hint="default"/>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ascii="Symbol" w:hAnsi="Symbol" w:hint="default"/>
      </w:rPr>
    </w:lvl>
    <w:lvl w:ilvl="1" w:tplc="2912DAA6">
      <w:start w:val="1"/>
      <w:numFmt w:val="bullet"/>
      <w:lvlText w:val="o"/>
      <w:lvlJc w:val="left"/>
      <w:pPr>
        <w:ind w:left="1440" w:hanging="360"/>
      </w:pPr>
      <w:rPr>
        <w:rFonts w:ascii="Courier New" w:hAnsi="Courier New" w:hint="default"/>
      </w:rPr>
    </w:lvl>
    <w:lvl w:ilvl="2" w:tplc="BD10A174">
      <w:start w:val="1"/>
      <w:numFmt w:val="bullet"/>
      <w:lvlText w:val=""/>
      <w:lvlJc w:val="left"/>
      <w:pPr>
        <w:ind w:left="2160" w:hanging="360"/>
      </w:pPr>
      <w:rPr>
        <w:rFonts w:ascii="Wingdings" w:hAnsi="Wingdings" w:hint="default"/>
      </w:rPr>
    </w:lvl>
    <w:lvl w:ilvl="3" w:tplc="8F9252C0">
      <w:start w:val="1"/>
      <w:numFmt w:val="bullet"/>
      <w:lvlText w:val=""/>
      <w:lvlJc w:val="left"/>
      <w:pPr>
        <w:ind w:left="2880" w:hanging="360"/>
      </w:pPr>
      <w:rPr>
        <w:rFonts w:ascii="Symbol" w:hAnsi="Symbol" w:hint="default"/>
      </w:rPr>
    </w:lvl>
    <w:lvl w:ilvl="4" w:tplc="E9E237EC">
      <w:start w:val="1"/>
      <w:numFmt w:val="bullet"/>
      <w:lvlText w:val="o"/>
      <w:lvlJc w:val="left"/>
      <w:pPr>
        <w:ind w:left="3600" w:hanging="360"/>
      </w:pPr>
      <w:rPr>
        <w:rFonts w:ascii="Courier New" w:hAnsi="Courier New" w:hint="default"/>
      </w:rPr>
    </w:lvl>
    <w:lvl w:ilvl="5" w:tplc="A970CCEE">
      <w:start w:val="1"/>
      <w:numFmt w:val="bullet"/>
      <w:lvlText w:val=""/>
      <w:lvlJc w:val="left"/>
      <w:pPr>
        <w:ind w:left="4320" w:hanging="360"/>
      </w:pPr>
      <w:rPr>
        <w:rFonts w:ascii="Wingdings" w:hAnsi="Wingdings" w:hint="default"/>
      </w:rPr>
    </w:lvl>
    <w:lvl w:ilvl="6" w:tplc="818C71CA">
      <w:start w:val="1"/>
      <w:numFmt w:val="bullet"/>
      <w:lvlText w:val=""/>
      <w:lvlJc w:val="left"/>
      <w:pPr>
        <w:ind w:left="5040" w:hanging="360"/>
      </w:pPr>
      <w:rPr>
        <w:rFonts w:ascii="Symbol" w:hAnsi="Symbol" w:hint="default"/>
      </w:rPr>
    </w:lvl>
    <w:lvl w:ilvl="7" w:tplc="C016B2C6">
      <w:start w:val="1"/>
      <w:numFmt w:val="bullet"/>
      <w:lvlText w:val="o"/>
      <w:lvlJc w:val="left"/>
      <w:pPr>
        <w:ind w:left="5760" w:hanging="360"/>
      </w:pPr>
      <w:rPr>
        <w:rFonts w:ascii="Courier New" w:hAnsi="Courier New" w:hint="default"/>
      </w:rPr>
    </w:lvl>
    <w:lvl w:ilvl="8" w:tplc="E5BCEEA4">
      <w:start w:val="1"/>
      <w:numFmt w:val="bullet"/>
      <w:lvlText w:val=""/>
      <w:lvlJc w:val="left"/>
      <w:pPr>
        <w:ind w:left="6480" w:hanging="360"/>
      </w:pPr>
      <w:rPr>
        <w:rFonts w:ascii="Wingdings" w:hAnsi="Wingdings" w:hint="default"/>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gration.gov.gr/m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C892B5F3-4F71-45F4-AB7B-85CF619064E0}"/>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5302</Words>
  <Characters>28631</Characters>
  <Application>Microsoft Office Word</Application>
  <DocSecurity>0</DocSecurity>
  <Lines>238</Lines>
  <Paragraphs>67</Paragraphs>
  <ScaleCrop>false</ScaleCrop>
  <Company>Uknown</Company>
  <LinksUpToDate>false</LinksUpToDate>
  <CharactersWithSpaces>33866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36</cp:revision>
  <cp:lastPrinted>2022-11-15T02:54:00Z</cp:lastPrinted>
  <dcterms:created xsi:type="dcterms:W3CDTF">2022-12-22T15:28:00Z</dcterms:created>
  <dcterms:modified xsi:type="dcterms:W3CDTF">2023-05-26T11:19:00Z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