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56E3932B">
        <w:tc>
          <w:tcPr>
            <w:tcW w:w="4565" w:type="dxa"/>
            <w:shd w:val="clear" w:color="auto" w:fill="auto"/>
          </w:tcPr>
          <w:p w14:paraId="3DB3DDD5" w14:textId="77777777" w:rsidR="004A3EA3" w:rsidRPr="00F6018B" w:rsidRDefault="004A3EA3" w:rsidP="00204595">
            <w:pPr>
              <w:rPr>
                <w:rFonts w:ascii="Verdana" w:hAnsi="Verdana"/>
              </w:rPr>
            </w:pPr>
            <w:r>
              <w:rPr>
                <w:noProof/>
              </w:rPr>
              <w:drawing>
                <wp:inline distT="0" distB="0" distL="0" distR="0" wp14:anchorId="4398F3D8" wp14:editId="7B08EDBA">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14:paraId="1D8DCB91" w14:textId="77777777" w:rsidR="0079233E" w:rsidRPr="0079233E" w:rsidRDefault="0079233E" w:rsidP="0079233E">
            <w:pPr>
              <w:rPr>
                <w:rFonts w:ascii="Verdana" w:hAnsi="Verdana"/>
                <w:b/>
              </w:rPr>
            </w:pPr>
            <w:r w:rsidRPr="0079233E">
              <w:rPr>
                <w:rFonts w:ascii="Verdana" w:hAnsi="Verdana"/>
                <w:b/>
              </w:rPr>
              <w:t>ΕΛΛΗΝΙΚΗ ΔΗΜΟΚΡΑΤΙΑ</w:t>
            </w:r>
          </w:p>
          <w:p w14:paraId="3E93B08B" w14:textId="63C73458" w:rsidR="004A3EA3" w:rsidRPr="00F6018B" w:rsidRDefault="0079233E" w:rsidP="0079233E">
            <w:pPr>
              <w:rPr>
                <w:rFonts w:ascii="Verdana" w:hAnsi="Verdana"/>
                <w:b/>
              </w:rPr>
            </w:pPr>
            <w:r w:rsidRPr="0079233E">
              <w:rPr>
                <w:rFonts w:ascii="Verdana" w:hAnsi="Verdana"/>
                <w:b/>
              </w:rPr>
              <w:t>ΥΠΟΥΡΓΕΙΟ ΜΕΤΑΝΑΣΤΕΥΣΗΣ ΚΑΙ ΑΣΥΛΟΥ</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56E3932B">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60D2CFF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14:paraId="1281E9CA"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ΔΙΕΥΘΥΝΣΗ ΣΥΝΤΟΝΙΣΜΟΥ ΚΑΙ ΔΙΑΧΕΙΡΙΣΗΣ ΠΡΟΓΡΑΜΜΑΤΩΝ ΜΕΤΑΝΑΣΤΕΥΣΗΣ ΚΑΙ ΕΣΩΤΕΡΙΚΩΝ ΥΠΟΘΕΣΕΩΝ ( Γ.Δ.ΣΥ.Δ.-Μ.Ε.Υ.)</w:t>
            </w:r>
          </w:p>
          <w:p w14:paraId="1CF2ABCC" w14:textId="77777777" w:rsidR="0079233E" w:rsidRDefault="0079233E" w:rsidP="0079233E">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14:paraId="62BE31CD" w14:textId="77777777" w:rsidR="00E17502" w:rsidRDefault="00E17502" w:rsidP="0079233E">
            <w:pPr>
              <w:tabs>
                <w:tab w:val="num" w:pos="0"/>
              </w:tabs>
              <w:rPr>
                <w:rFonts w:ascii="Tahoma" w:hAnsi="Tahoma" w:cs="Tahoma"/>
                <w:sz w:val="18"/>
                <w:szCs w:val="18"/>
              </w:rPr>
            </w:pPr>
          </w:p>
          <w:p w14:paraId="35896B4D" w14:textId="0B0B9A0A" w:rsidR="00E17502" w:rsidRDefault="00E17502" w:rsidP="0079233E">
            <w:pPr>
              <w:tabs>
                <w:tab w:val="num" w:pos="0"/>
              </w:tabs>
              <w:rPr>
                <w:rFonts w:ascii="Tahoma" w:hAnsi="Tahoma" w:cs="Tahoma"/>
                <w:sz w:val="18"/>
                <w:szCs w:val="18"/>
              </w:rPr>
            </w:pPr>
            <w:r>
              <w:rPr>
                <w:rFonts w:ascii="Tahoma" w:hAnsi="Tahoma" w:cs="Tahoma"/>
                <w:sz w:val="18"/>
                <w:szCs w:val="18"/>
              </w:rPr>
              <w:t>(ή ΕΝΔΙΑΜΕΣΟΣ ΦΟΡΕΑΣ ΔΙΑΧΕΙΡΙΣΗΣ)</w:t>
            </w:r>
          </w:p>
          <w:p w14:paraId="73E63D0A" w14:textId="77777777" w:rsidR="00E17502" w:rsidRPr="0079233E" w:rsidRDefault="00E17502" w:rsidP="0079233E">
            <w:pPr>
              <w:tabs>
                <w:tab w:val="num" w:pos="0"/>
              </w:tabs>
              <w:rPr>
                <w:rFonts w:ascii="Tahoma" w:hAnsi="Tahoma" w:cs="Tahoma"/>
                <w:sz w:val="18"/>
                <w:szCs w:val="18"/>
              </w:rPr>
            </w:pPr>
          </w:p>
          <w:p w14:paraId="296D5542" w14:textId="77777777" w:rsidR="008377BA" w:rsidRDefault="0079233E" w:rsidP="0079233E">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14:paraId="46CE6E5C" w14:textId="5E562243" w:rsidR="004A3EA3" w:rsidRPr="00BB6533" w:rsidRDefault="004A3EA3" w:rsidP="0079233E">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5721184B" w14:textId="77777777" w:rsidR="00E17502" w:rsidRDefault="00E17502" w:rsidP="00204595">
            <w:pPr>
              <w:rPr>
                <w:rFonts w:ascii="Tahoma" w:hAnsi="Tahoma" w:cs="Tahoma"/>
                <w:b/>
                <w:sz w:val="18"/>
                <w:szCs w:val="18"/>
              </w:rPr>
            </w:pPr>
          </w:p>
          <w:p w14:paraId="2BADEAF6" w14:textId="4A1BA08E" w:rsidR="00E17502" w:rsidRDefault="00E17502" w:rsidP="00204595">
            <w:pPr>
              <w:rPr>
                <w:rFonts w:ascii="Tahoma" w:hAnsi="Tahoma" w:cs="Tahoma"/>
                <w:b/>
                <w:sz w:val="18"/>
                <w:szCs w:val="18"/>
              </w:rPr>
            </w:pPr>
            <w:r>
              <w:rPr>
                <w:rFonts w:ascii="Tahoma" w:hAnsi="Tahoma" w:cs="Tahoma"/>
                <w:b/>
                <w:sz w:val="18"/>
                <w:szCs w:val="18"/>
              </w:rPr>
              <w:t xml:space="preserve">ΑΝΑΡΤΗΤΕΑ ΣΤΟ ΔΙΑΔΙΚΤΥΟ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56E3932B">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60EE2A03"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E423D4" w:rsidRP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 Πρόγραμμα</w:t>
      </w:r>
      <w:r w:rsidR="00067301" w:rsidRPr="00FF577A">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4D8BA658" w14:textId="77777777" w:rsidR="00537A43" w:rsidRPr="00FF577A" w:rsidRDefault="00537A43" w:rsidP="00813CB3">
      <w:pPr>
        <w:spacing w:before="120" w:after="120" w:line="280" w:lineRule="atLeast"/>
        <w:jc w:val="center"/>
        <w:outlineLvl w:val="0"/>
        <w:rPr>
          <w:rFonts w:ascii="Tahoma" w:hAnsi="Tahoma" w:cs="Tahoma"/>
          <w:b/>
          <w:u w:val="single"/>
          <w:lang w:eastAsia="en-US"/>
        </w:rPr>
      </w:pPr>
    </w:p>
    <w:p w14:paraId="5E3E1F0F" w14:textId="23FA2BD1" w:rsidR="0073680C" w:rsidRPr="00842F7E" w:rsidRDefault="005C1876" w:rsidP="00EE7A37">
      <w:pPr>
        <w:tabs>
          <w:tab w:val="num" w:pos="0"/>
        </w:tabs>
        <w:spacing w:line="200" w:lineRule="atLeast"/>
        <w:jc w:val="center"/>
        <w:rPr>
          <w:rFonts w:ascii="Tahoma" w:hAnsi="Tahoma" w:cs="Tahoma"/>
          <w:b/>
          <w:color w:val="0070C0"/>
        </w:rPr>
      </w:pPr>
      <w:r>
        <w:rPr>
          <w:rFonts w:ascii="Tahoma" w:hAnsi="Tahoma" w:cs="Tahoma"/>
          <w:b/>
          <w:color w:val="0070C0"/>
        </w:rPr>
        <w:t>Η ΠΡΟΪΣΤΑΜΕΝΗ ΓΕΝΙΚΗΣ ΔΙΕΥΘΥΝΣΗΣ</w:t>
      </w: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42F91ECE" w14:textId="61E5F5D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709EA85D" w14:textId="77777777" w:rsidR="00E17502" w:rsidRDefault="00E17502" w:rsidP="00E17502">
      <w:pPr>
        <w:spacing w:before="120" w:after="120" w:line="280" w:lineRule="atLeast"/>
        <w:ind w:left="426"/>
        <w:jc w:val="both"/>
        <w:rPr>
          <w:rFonts w:ascii="Tahoma" w:hAnsi="Tahoma" w:cs="Tahoma"/>
        </w:rPr>
      </w:pPr>
      <w:r w:rsidRPr="00E17502">
        <w:rPr>
          <w:rFonts w:ascii="Tahoma" w:hAnsi="Tahoma" w:cs="Tahoma"/>
        </w:rPr>
        <w:lastRenderedPageBreak/>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00A8E00"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14:paraId="68B15F3E" w14:textId="78EC357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14:paraId="2F3A9E66" w14:textId="13A7FA0A"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76DB7629" w14:textId="2E300E0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14:paraId="5C50EB31" w14:textId="0496E575"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14:paraId="432AB041" w14:textId="6F1F03D1" w:rsidR="226A52E3" w:rsidRDefault="00FF083B" w:rsidP="226A52E3">
      <w:pPr>
        <w:numPr>
          <w:ilvl w:val="0"/>
          <w:numId w:val="1"/>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14:paraId="03A27D63" w14:textId="4FA87D4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υπ’  αρ. 42356/ΥΦ 776 (B’ 1121/20.04.2016) «Υπουργική Απόφαση για τη διάρθρωση της Ειδικής Υπηρεσίας Συντονισμού και Διαχείρισης Προγραμμάτων του Ταμείου Ασύλου, </w:t>
      </w:r>
      <w:r w:rsidRPr="226A52E3">
        <w:rPr>
          <w:rFonts w:ascii="Tahoma" w:hAnsi="Tahoma" w:cs="Tahoma"/>
        </w:rPr>
        <w:lastRenderedPageBreak/>
        <w:t xml:space="preserve">Μετανάστευσης και Ένταξης και του Ταμείου Εσωτερικής Ασφάλειας και άλλων πόρων και καθορισμός των τυπικών και ουσιαστικών προσόντων του προσωπικού που μετακινείται ή αποσπάται σε αυτήν, σύμφωνα με το άρθρο 76 του Ν. 4375/2016». </w:t>
      </w:r>
    </w:p>
    <w:p w14:paraId="0BB0E269" w14:textId="0DDADB7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και άλλες διατάξεις» (Β’ 5772).</w:t>
      </w:r>
    </w:p>
    <w:p w14:paraId="0F32CFFF" w14:textId="60DB9A5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114947/29.11.2022 Υπουργική Απόφαση «Εθνικοί Κανόνες Επιλεξιμότητας των δαπανών των πράξεων των Προγραμμάτων 2021-2027» (Β’ 6132).</w:t>
      </w:r>
    </w:p>
    <w:p w14:paraId="2B62346B" w14:textId="63BD9E8D"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14:paraId="7181AAFC" w14:textId="7C786CF9" w:rsidR="00C93701" w:rsidRPr="00E17502"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80A3425" w14:textId="21A2A640"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A7F30EE" w14:textId="5F8CA50C"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Default="00C93701"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Τον υπ’ αριθμό 2016/C 202/02 από 7.6.2016 Χάρτη των Θεμελιωδών Δικαιωμάτων της Ευρωπαϊκής Ένωσης.</w:t>
      </w:r>
    </w:p>
    <w:p w14:paraId="2DCCCC18" w14:textId="4DB58147" w:rsidR="00A972BF" w:rsidRPr="00FB0C19" w:rsidRDefault="00A972BF"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 xml:space="preserve">Την υπ’ αρ. </w:t>
      </w:r>
      <w:r w:rsidR="00A76BEE" w:rsidRPr="00A76BEE">
        <w:rPr>
          <w:rFonts w:ascii="Tahoma" w:hAnsi="Tahoma" w:cs="Tahoma"/>
        </w:rPr>
        <w:t>27638/ 16.01.2023</w:t>
      </w:r>
      <w:r w:rsidRPr="226A52E3">
        <w:rPr>
          <w:rFonts w:ascii="Tahoma" w:hAnsi="Tahoma" w:cs="Tahoma"/>
        </w:rPr>
        <w:t xml:space="preserve"> απόφαση με την οποία εγκρίθηκαν η </w:t>
      </w:r>
      <w:r w:rsidR="00A76BEE">
        <w:rPr>
          <w:rFonts w:ascii="Tahoma" w:hAnsi="Tahoma" w:cs="Tahoma"/>
        </w:rPr>
        <w:t>2</w:t>
      </w:r>
      <w:r w:rsidR="00A76BEE" w:rsidRPr="00A76BEE">
        <w:rPr>
          <w:rFonts w:ascii="Tahoma" w:hAnsi="Tahoma" w:cs="Tahoma"/>
          <w:vertAlign w:val="superscript"/>
        </w:rPr>
        <w:t>η</w:t>
      </w:r>
      <w:r w:rsidR="00A76BEE">
        <w:rPr>
          <w:rFonts w:ascii="Tahoma" w:hAnsi="Tahoma" w:cs="Tahoma"/>
        </w:rPr>
        <w:t xml:space="preserve"> </w:t>
      </w:r>
      <w:r w:rsidRPr="226A52E3">
        <w:rPr>
          <w:rFonts w:ascii="Tahoma" w:hAnsi="Tahoma" w:cs="Tahoma"/>
        </w:rPr>
        <w:t>εξειδίκευση και ο προγραμματισμός των προσκλήσεων υποβολής προτάσεων.</w:t>
      </w:r>
    </w:p>
    <w:p w14:paraId="506FA612" w14:textId="793223D8" w:rsidR="003E2D76" w:rsidRPr="00C93701" w:rsidRDefault="003E2D76"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w:t>
      </w:r>
      <w:r w:rsidR="001B5717" w:rsidRPr="226A52E3">
        <w:rPr>
          <w:rFonts w:ascii="Tahoma" w:hAnsi="Tahoma" w:cs="Tahoma"/>
        </w:rPr>
        <w:t xml:space="preserve">’ </w:t>
      </w:r>
      <w:r w:rsidRPr="226A52E3">
        <w:rPr>
          <w:rFonts w:ascii="Tahoma" w:hAnsi="Tahoma" w:cs="Tahoma"/>
        </w:rPr>
        <w:t xml:space="preserve">αρ. </w:t>
      </w:r>
      <w:r w:rsidR="0054709F" w:rsidRPr="0054709F">
        <w:rPr>
          <w:rFonts w:ascii="Tahoma" w:hAnsi="Tahoma" w:cs="Tahoma"/>
        </w:rPr>
        <w:t>82285/09.02.2023</w:t>
      </w:r>
      <w:r w:rsidRPr="226A52E3">
        <w:rPr>
          <w:rFonts w:ascii="Tahoma" w:hAnsi="Tahoma" w:cs="Tahoma"/>
        </w:rPr>
        <w:t xml:space="preserve"> 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00FB0C19" w:rsidRPr="226A52E3">
        <w:rPr>
          <w:rFonts w:ascii="Tahoma" w:hAnsi="Tahoma" w:cs="Tahoma"/>
        </w:rPr>
        <w:t>ένο στην πρόσκληση έγγραφο (ΑΔΑ</w:t>
      </w:r>
      <w:r w:rsidRPr="226A52E3">
        <w:rPr>
          <w:rFonts w:ascii="Tahoma" w:hAnsi="Tahoma" w:cs="Tahoma"/>
        </w:rPr>
        <w:t xml:space="preserve">: </w:t>
      </w:r>
      <w:r w:rsidR="00275D03" w:rsidRPr="00275D03">
        <w:rPr>
          <w:rFonts w:ascii="Tahoma" w:hAnsi="Tahoma" w:cs="Tahoma"/>
        </w:rPr>
        <w:t>6ΗΔ146ΜΔΨΟ-Χ43</w:t>
      </w:r>
      <w:r w:rsidRPr="226A52E3">
        <w:rPr>
          <w:rFonts w:ascii="Tahoma" w:hAnsi="Tahoma" w:cs="Tahoma"/>
        </w:rPr>
        <w:t>).</w:t>
      </w:r>
    </w:p>
    <w:p w14:paraId="288620AE" w14:textId="0481C111" w:rsidR="00C93701" w:rsidRPr="00C93701" w:rsidRDefault="00C93701" w:rsidP="00731E18">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με αρ. πρωτ. ……… πρόσκληση της </w:t>
      </w:r>
      <w:r w:rsidR="001B5717" w:rsidRPr="226A52E3">
        <w:rPr>
          <w:rFonts w:ascii="Tahoma" w:hAnsi="Tahoma" w:cs="Tahoma"/>
        </w:rPr>
        <w:t>Ε.Υ.ΣΥ.Δ.-Μ.Ε.Υ. με τίτλο</w:t>
      </w:r>
      <w:r w:rsidRPr="226A52E3">
        <w:rPr>
          <w:rFonts w:ascii="Tahoma" w:hAnsi="Tahoma" w:cs="Tahoma"/>
        </w:rPr>
        <w:t xml:space="preserve"> «…………»  για την υποβολή προτάσεων στο πλαίσιο </w:t>
      </w:r>
      <w:r w:rsidR="001B5717" w:rsidRPr="226A52E3">
        <w:rPr>
          <w:rFonts w:ascii="Tahoma" w:hAnsi="Tahoma" w:cs="Tahoma"/>
        </w:rPr>
        <w:t>του Προγράμματος «</w:t>
      </w:r>
      <w:r w:rsidRPr="226A52E3">
        <w:rPr>
          <w:rFonts w:ascii="Tahoma" w:hAnsi="Tahoma" w:cs="Tahoma"/>
        </w:rPr>
        <w:t>…...</w:t>
      </w:r>
      <w:r w:rsidR="001B5717" w:rsidRPr="226A52E3">
        <w:rPr>
          <w:rFonts w:ascii="Tahoma" w:hAnsi="Tahoma" w:cs="Tahoma"/>
        </w:rPr>
        <w:t>»</w:t>
      </w:r>
      <w:r w:rsidR="005711B0" w:rsidRPr="226A52E3">
        <w:rPr>
          <w:rFonts w:ascii="Tahoma" w:hAnsi="Tahoma" w:cs="Tahoma"/>
        </w:rPr>
        <w:t xml:space="preserve"> της Προγραμματικής Περιόδου 2021-2027</w:t>
      </w:r>
      <w:r w:rsidR="001B5717" w:rsidRPr="226A52E3">
        <w:rPr>
          <w:rFonts w:ascii="Tahoma" w:hAnsi="Tahoma" w:cs="Tahoma"/>
        </w:rPr>
        <w:t xml:space="preserve">. </w:t>
      </w:r>
      <w:r w:rsidRPr="226A52E3">
        <w:rPr>
          <w:rFonts w:ascii="Tahoma" w:hAnsi="Tahoma" w:cs="Tahoma"/>
        </w:rPr>
        <w:t xml:space="preserve"> </w:t>
      </w:r>
    </w:p>
    <w:p w14:paraId="3CA07BE4" w14:textId="4694F1E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proofErr w:type="spellStart"/>
      <w:r w:rsidRPr="226A52E3">
        <w:rPr>
          <w:rFonts w:ascii="Tahoma" w:hAnsi="Tahoma" w:cs="Tahoma"/>
        </w:rPr>
        <w:t>Τo</w:t>
      </w:r>
      <w:proofErr w:type="spellEnd"/>
      <w:r w:rsidRPr="226A52E3">
        <w:rPr>
          <w:rFonts w:ascii="Tahoma" w:hAnsi="Tahoma" w:cs="Tahoma"/>
        </w:rPr>
        <w:t xml:space="preserve"> με ID …. – …/…/…. (ημερομηνία)  – ώρα: … Τεχνικό Δελτίο Πράξης του </w:t>
      </w:r>
      <w:r w:rsidR="001B5717" w:rsidRPr="226A52E3">
        <w:rPr>
          <w:rFonts w:ascii="Tahoma" w:hAnsi="Tahoma" w:cs="Tahoma"/>
        </w:rPr>
        <w:t>φορέα «</w:t>
      </w:r>
      <w:r w:rsidRPr="226A52E3">
        <w:rPr>
          <w:rFonts w:ascii="Tahoma" w:hAnsi="Tahoma" w:cs="Tahoma"/>
        </w:rPr>
        <w:t>…………………….</w:t>
      </w:r>
      <w:r w:rsidR="001B5717" w:rsidRPr="226A52E3">
        <w:rPr>
          <w:rFonts w:ascii="Tahoma" w:hAnsi="Tahoma" w:cs="Tahoma"/>
        </w:rPr>
        <w:t>»</w:t>
      </w:r>
      <w:r w:rsidRPr="226A52E3">
        <w:rPr>
          <w:rFonts w:ascii="Tahoma" w:hAnsi="Tahoma" w:cs="Tahoma"/>
        </w:rPr>
        <w:t xml:space="preserve"> προς την </w:t>
      </w:r>
      <w:r w:rsidR="001B5717" w:rsidRPr="226A52E3">
        <w:rPr>
          <w:rFonts w:ascii="Tahoma" w:hAnsi="Tahoma" w:cs="Tahoma"/>
        </w:rPr>
        <w:t xml:space="preserve">Ε.Υ.ΣΥ.Δ.-Μ.Ε.Υ. </w:t>
      </w:r>
      <w:r w:rsidRPr="226A52E3">
        <w:rPr>
          <w:rFonts w:ascii="Tahoma" w:hAnsi="Tahoma" w:cs="Tahoma"/>
        </w:rPr>
        <w:t>για την ένταξη της πράξης στο Πρόγραμμα «…………………»,</w:t>
      </w:r>
    </w:p>
    <w:p w14:paraId="73BDBB02" w14:textId="680EE141"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Το αποτέλεσμα της αξιολόγησης, όπως αυτό</w:t>
      </w:r>
      <w:r w:rsidR="00372350" w:rsidRPr="226A52E3">
        <w:rPr>
          <w:rFonts w:ascii="Tahoma" w:hAnsi="Tahoma" w:cs="Tahoma"/>
        </w:rPr>
        <w:t xml:space="preserve"> αποτυπώνεται στο ΟΠΣ και</w:t>
      </w:r>
      <w:r w:rsidRPr="226A52E3">
        <w:rPr>
          <w:rFonts w:ascii="Tahoma" w:hAnsi="Tahoma" w:cs="Tahoma"/>
        </w:rPr>
        <w:t xml:space="preserve"> καταγράφεται στα έγγραφα τεκμηρίωσης της θετικής αξιολόγησης της πρότασης και ειδικότερα </w:t>
      </w:r>
      <w:r w:rsidR="00E423D4" w:rsidRPr="226A52E3">
        <w:rPr>
          <w:rFonts w:ascii="Tahoma" w:hAnsi="Tahoma" w:cs="Tahoma"/>
        </w:rPr>
        <w:t>(</w:t>
      </w:r>
      <w:r w:rsidR="00E423D4" w:rsidRPr="226A52E3">
        <w:rPr>
          <w:rFonts w:ascii="Tahoma" w:hAnsi="Tahoma" w:cs="Tahoma"/>
          <w:i/>
          <w:iCs/>
        </w:rPr>
        <w:t xml:space="preserve">στον Πίνακα </w:t>
      </w:r>
      <w:r w:rsidR="00E423D4" w:rsidRPr="226A52E3">
        <w:rPr>
          <w:rFonts w:ascii="Tahoma" w:hAnsi="Tahoma" w:cs="Tahoma"/>
          <w:i/>
          <w:iCs/>
        </w:rPr>
        <w:lastRenderedPageBreak/>
        <w:t>Κατάταξης των προτάσεων που έχουν αξιολογηθεί</w:t>
      </w:r>
      <w:r w:rsidR="00372350" w:rsidRPr="226A52E3">
        <w:rPr>
          <w:rFonts w:ascii="Tahoma" w:hAnsi="Tahoma" w:cs="Tahoma"/>
        </w:rPr>
        <w:t xml:space="preserve"> –</w:t>
      </w:r>
      <w:r w:rsidR="00A546C4" w:rsidRPr="226A52E3">
        <w:rPr>
          <w:rFonts w:ascii="Tahoma" w:hAnsi="Tahoma" w:cs="Tahoma"/>
        </w:rPr>
        <w:t xml:space="preserve"> </w:t>
      </w:r>
      <w:r w:rsidR="00A546C4" w:rsidRPr="226A52E3">
        <w:rPr>
          <w:rFonts w:ascii="Tahoma" w:hAnsi="Tahoma" w:cs="Tahoma"/>
          <w:i/>
          <w:iCs/>
        </w:rPr>
        <w:t>σε περίπτωση χρήσης της μεθόδου συγκριτικής αξιολόγησης</w:t>
      </w:r>
      <w:r w:rsidR="00E423D4" w:rsidRPr="226A52E3">
        <w:rPr>
          <w:rFonts w:ascii="Tahoma" w:hAnsi="Tahoma" w:cs="Tahoma"/>
        </w:rPr>
        <w:t xml:space="preserve">), </w:t>
      </w:r>
      <w:r w:rsidR="001A11A9" w:rsidRPr="226A52E3">
        <w:rPr>
          <w:rFonts w:ascii="Tahoma" w:hAnsi="Tahoma" w:cs="Tahoma"/>
        </w:rPr>
        <w:t>στη Λίστα Ελέγχου</w:t>
      </w:r>
      <w:r w:rsidR="00D80DDF" w:rsidRPr="226A52E3">
        <w:rPr>
          <w:rFonts w:ascii="Tahoma" w:hAnsi="Tahoma" w:cs="Tahoma"/>
        </w:rPr>
        <w:t xml:space="preserve"> Πληρότητας </w:t>
      </w:r>
      <w:r w:rsidR="00AB76D2" w:rsidRPr="226A52E3">
        <w:rPr>
          <w:rFonts w:ascii="Tahoma" w:hAnsi="Tahoma" w:cs="Tahoma"/>
        </w:rPr>
        <w:t>– Επιλεξιμότητας</w:t>
      </w:r>
      <w:r w:rsidR="001B5717" w:rsidRPr="226A52E3">
        <w:rPr>
          <w:rFonts w:ascii="Tahoma" w:hAnsi="Tahoma" w:cs="Tahoma"/>
        </w:rPr>
        <w:t xml:space="preserve">, </w:t>
      </w:r>
      <w:r w:rsidRPr="226A52E3">
        <w:rPr>
          <w:rFonts w:ascii="Tahoma" w:hAnsi="Tahoma" w:cs="Tahoma"/>
        </w:rPr>
        <w:t xml:space="preserve">στο Φύλλο </w:t>
      </w:r>
      <w:r w:rsidR="00A20BF9" w:rsidRPr="226A52E3">
        <w:rPr>
          <w:rFonts w:ascii="Tahoma" w:hAnsi="Tahoma" w:cs="Tahoma"/>
        </w:rPr>
        <w:t>Αξιολόγησης Πράξης</w:t>
      </w:r>
      <w:r w:rsidR="001B5717" w:rsidRPr="226A52E3">
        <w:rPr>
          <w:rFonts w:ascii="Tahoma" w:hAnsi="Tahoma" w:cs="Tahoma"/>
        </w:rPr>
        <w:t xml:space="preserve"> και στην Υποστηρικ</w:t>
      </w:r>
      <w:r w:rsidR="00123C4B" w:rsidRPr="226A52E3">
        <w:rPr>
          <w:rFonts w:ascii="Tahoma" w:hAnsi="Tahoma" w:cs="Tahoma"/>
        </w:rPr>
        <w:t>τική Λίστα</w:t>
      </w:r>
      <w:r w:rsidR="005711B0" w:rsidRPr="226A52E3">
        <w:rPr>
          <w:rFonts w:ascii="Tahoma" w:hAnsi="Tahoma" w:cs="Tahoma"/>
        </w:rPr>
        <w:t xml:space="preserve"> </w:t>
      </w:r>
      <w:r w:rsidR="00372350" w:rsidRPr="226A52E3">
        <w:rPr>
          <w:rFonts w:ascii="Tahoma" w:hAnsi="Tahoma" w:cs="Tahoma"/>
        </w:rPr>
        <w:t>βάσει του Χάρτη Θεμελιωδών Δικαιωμάτων</w:t>
      </w:r>
      <w:r w:rsidRPr="226A52E3">
        <w:rPr>
          <w:rFonts w:ascii="Tahoma" w:hAnsi="Tahoma" w:cs="Tahoma"/>
        </w:rPr>
        <w:t>,</w:t>
      </w:r>
    </w:p>
    <w:p w14:paraId="50BC2C1E" w14:textId="5C0482E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με αρ. πρωτ. ………………. θετική εισήγηση του προϊσταμένου της Διαχειριστικής Αρχής.</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1A64555A"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7343F0" w:rsidRPr="00FF577A">
        <w:rPr>
          <w:rFonts w:ascii="Tahoma" w:hAnsi="Tahoma" w:cs="Tahoma"/>
          <w:lang w:eastAsia="en-US"/>
        </w:rPr>
        <w:t xml:space="preserve">. </w:t>
      </w:r>
    </w:p>
    <w:p w14:paraId="7F73E1FA" w14:textId="77777777" w:rsidR="005A3C89" w:rsidRPr="00FF577A" w:rsidRDefault="005A3C89" w:rsidP="005A3C89">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14:paraId="1BB1414A" w14:textId="77777777" w:rsidR="005A3C89" w:rsidRDefault="005A3C89" w:rsidP="005A3C89">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14:paraId="7A2264F5" w14:textId="77777777" w:rsidR="005A3C89" w:rsidRDefault="005A3C89" w:rsidP="005A3C89">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5A3C89" w:rsidRPr="00BB6533" w14:paraId="41FD63C2" w14:textId="77777777" w:rsidTr="00EA2CF5">
        <w:trPr>
          <w:jc w:val="center"/>
        </w:trPr>
        <w:tc>
          <w:tcPr>
            <w:tcW w:w="8085" w:type="dxa"/>
            <w:gridSpan w:val="4"/>
            <w:shd w:val="clear" w:color="auto" w:fill="D9D9D9"/>
          </w:tcPr>
          <w:p w14:paraId="14880A3C"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005A3C89" w:rsidRPr="00BB6533" w14:paraId="157EF43B" w14:textId="77777777" w:rsidTr="00EA2CF5">
        <w:trPr>
          <w:jc w:val="center"/>
        </w:trPr>
        <w:tc>
          <w:tcPr>
            <w:tcW w:w="2186" w:type="dxa"/>
            <w:shd w:val="clear" w:color="auto" w:fill="D9D9D9"/>
            <w:vAlign w:val="center"/>
          </w:tcPr>
          <w:p w14:paraId="30E8D9A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6FF29CC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757893" w14:textId="77777777" w:rsidR="005A3C89" w:rsidRPr="00D338FC" w:rsidRDefault="005A3C89" w:rsidP="00EA2CF5">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14:paraId="3A9F8A07" w14:textId="77777777" w:rsidR="005A3C89" w:rsidRPr="000C4801" w:rsidRDefault="005A3C89" w:rsidP="00EA2CF5">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005A3C89" w:rsidRPr="00BB6533" w14:paraId="0F4661E7" w14:textId="77777777" w:rsidTr="00EA2CF5">
        <w:trPr>
          <w:trHeight w:val="329"/>
          <w:jc w:val="center"/>
        </w:trPr>
        <w:tc>
          <w:tcPr>
            <w:tcW w:w="2186" w:type="dxa"/>
            <w:shd w:val="clear" w:color="auto" w:fill="auto"/>
          </w:tcPr>
          <w:p w14:paraId="426C2C10" w14:textId="77777777" w:rsidR="005A3C89" w:rsidRPr="00FA7FC6" w:rsidRDefault="005A3C89" w:rsidP="00EA2CF5">
            <w:pPr>
              <w:spacing w:before="60" w:after="60"/>
              <w:ind w:left="-128" w:firstLine="128"/>
              <w:jc w:val="right"/>
              <w:rPr>
                <w:rFonts w:ascii="Tahoma" w:hAnsi="Tahoma" w:cs="Tahoma"/>
                <w:sz w:val="18"/>
                <w:szCs w:val="18"/>
              </w:rPr>
            </w:pPr>
          </w:p>
        </w:tc>
        <w:tc>
          <w:tcPr>
            <w:tcW w:w="2122" w:type="dxa"/>
            <w:shd w:val="clear" w:color="auto" w:fill="auto"/>
          </w:tcPr>
          <w:p w14:paraId="4AE3373B"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09CAAEF9"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3FA74672" w14:textId="77777777" w:rsidR="005A3C89" w:rsidRPr="00FA7FC6" w:rsidRDefault="005A3C89" w:rsidP="00EA2CF5">
            <w:pPr>
              <w:spacing w:before="60" w:after="60"/>
              <w:rPr>
                <w:rFonts w:ascii="Tahoma" w:hAnsi="Tahoma" w:cs="Tahoma"/>
                <w:sz w:val="18"/>
                <w:szCs w:val="18"/>
              </w:rPr>
            </w:pPr>
          </w:p>
        </w:tc>
      </w:tr>
      <w:tr w:rsidR="005A3C89" w:rsidRPr="00BB6533" w14:paraId="19EE3A62" w14:textId="77777777" w:rsidTr="00EA2CF5">
        <w:trPr>
          <w:jc w:val="center"/>
        </w:trPr>
        <w:tc>
          <w:tcPr>
            <w:tcW w:w="2186" w:type="dxa"/>
            <w:shd w:val="clear" w:color="auto" w:fill="auto"/>
          </w:tcPr>
          <w:p w14:paraId="1A269045"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54796721"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50764271"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63DFC0A4" w14:textId="77777777" w:rsidR="005A3C89" w:rsidRPr="00FA7FC6" w:rsidRDefault="005A3C89" w:rsidP="00EA2CF5">
            <w:pPr>
              <w:spacing w:before="60" w:after="60"/>
              <w:rPr>
                <w:rFonts w:ascii="Tahoma" w:hAnsi="Tahoma" w:cs="Tahoma"/>
                <w:sz w:val="18"/>
                <w:szCs w:val="18"/>
              </w:rPr>
            </w:pPr>
          </w:p>
        </w:tc>
      </w:tr>
      <w:tr w:rsidR="005A3C89" w:rsidRPr="00BB6533" w14:paraId="3F0BCBE1" w14:textId="77777777" w:rsidTr="00EA2CF5">
        <w:trPr>
          <w:jc w:val="center"/>
        </w:trPr>
        <w:tc>
          <w:tcPr>
            <w:tcW w:w="2186" w:type="dxa"/>
            <w:shd w:val="clear" w:color="auto" w:fill="auto"/>
          </w:tcPr>
          <w:p w14:paraId="63427D2B"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08C8C3F9"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1912E9C5"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059EFAE5" w14:textId="77777777" w:rsidR="005A3C89" w:rsidRPr="00FA7FC6" w:rsidRDefault="005A3C89" w:rsidP="00EA2CF5">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w:t>
      </w:r>
      <w:proofErr w:type="spellStart"/>
      <w:r w:rsidR="006858BC" w:rsidRPr="00FF577A">
        <w:rPr>
          <w:rFonts w:ascii="Tahoma" w:hAnsi="Tahoma" w:cs="Tahoma"/>
          <w:i/>
          <w:lang w:eastAsia="en-US"/>
        </w:rPr>
        <w:t>νται</w:t>
      </w:r>
      <w:proofErr w:type="spellEnd"/>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8E4E26">
            <w:pPr>
              <w:numPr>
                <w:ilvl w:val="0"/>
                <w:numId w:val="3"/>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8E4E26">
            <w:pPr>
              <w:numPr>
                <w:ilvl w:val="0"/>
                <w:numId w:val="3"/>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8E4E26">
            <w:pPr>
              <w:numPr>
                <w:ilvl w:val="0"/>
                <w:numId w:val="3"/>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5992F72A" w14:textId="77777777" w:rsidR="003B1E34" w:rsidRDefault="003B1E34" w:rsidP="009B0A65">
      <w:pPr>
        <w:spacing w:before="120" w:after="120" w:line="280" w:lineRule="exact"/>
        <w:rPr>
          <w:rFonts w:ascii="Tahoma" w:hAnsi="Tahoma" w:cs="Tahoma"/>
          <w:sz w:val="18"/>
          <w:szCs w:val="18"/>
        </w:rPr>
      </w:pPr>
    </w:p>
    <w:p w14:paraId="59656EE3" w14:textId="77777777" w:rsidR="005A3C89" w:rsidRPr="004D25DF"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235BE936" w14:textId="77777777" w:rsidR="005A3C89" w:rsidRPr="00397B6D"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14:paraId="64242327" w14:textId="77777777" w:rsidR="005A3C89" w:rsidRDefault="005A3C89"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Default="00A82E70" w:rsidP="008E4E26">
      <w:pPr>
        <w:numPr>
          <w:ilvl w:val="0"/>
          <w:numId w:val="3"/>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1450E631" w14:textId="366A5B64" w:rsidR="00B65F0F" w:rsidRPr="00166BEF" w:rsidRDefault="00B65F0F" w:rsidP="00B65F0F">
      <w:pPr>
        <w:numPr>
          <w:ilvl w:val="0"/>
          <w:numId w:val="3"/>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14:paraId="7A7FCFB9" w14:textId="77777777" w:rsidR="00B65F0F" w:rsidRPr="00166BEF" w:rsidRDefault="00B65F0F" w:rsidP="00B65F0F">
      <w:pPr>
        <w:spacing w:before="360" w:after="120" w:line="280" w:lineRule="exact"/>
        <w:ind w:left="567"/>
        <w:jc w:val="both"/>
        <w:rPr>
          <w:rFonts w:ascii="Tahoma" w:hAnsi="Tahoma" w:cs="Tahoma"/>
        </w:rPr>
      </w:pP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sectPr w:rsidR="003B1E34" w:rsidSect="005A3C89">
          <w:footerReference w:type="default" r:id="rId13"/>
          <w:pgSz w:w="11906" w:h="16838" w:code="9"/>
          <w:pgMar w:top="1276" w:right="1983" w:bottom="2127" w:left="1418" w:header="709" w:footer="447" w:gutter="0"/>
          <w:cols w:space="708"/>
          <w:docGrid w:linePitch="360"/>
        </w:sectPr>
      </w:pPr>
    </w:p>
    <w:p w14:paraId="689FAE2B" w14:textId="3926CF92" w:rsidR="003B1E34" w:rsidRDefault="00D73BCD" w:rsidP="008E4E26">
      <w:pPr>
        <w:pStyle w:val="af2"/>
        <w:numPr>
          <w:ilvl w:val="0"/>
          <w:numId w:val="3"/>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ράξη, οι</w:t>
      </w:r>
      <w:r w:rsidR="003B2841">
        <w:rPr>
          <w:rFonts w:ascii="Tahoma" w:hAnsi="Tahoma" w:cs="Tahoma"/>
          <w:sz w:val="20"/>
          <w:szCs w:val="20"/>
        </w:rPr>
        <w:t xml:space="preserve"> τυχόν</w:t>
      </w:r>
      <w:r w:rsidR="003B1E34" w:rsidRPr="00166BEF">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14:paraId="5AF7513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Παράδειγμα: Το </w:t>
            </w:r>
            <w:proofErr w:type="spellStart"/>
            <w:r w:rsidRPr="00E1766D">
              <w:rPr>
                <w:rFonts w:ascii="Tahoma" w:hAnsi="Tahoma" w:cs="Tahoma"/>
                <w:i/>
              </w:rPr>
              <w:t>μοναδιαίο</w:t>
            </w:r>
            <w:proofErr w:type="spellEnd"/>
            <w:r w:rsidRPr="00E1766D">
              <w:rPr>
                <w:rFonts w:ascii="Tahoma" w:hAnsi="Tahoma" w:cs="Tahoma"/>
                <w:i/>
              </w:rPr>
              <w:t xml:space="preserve">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FB0C19" w:rsidRDefault="00D76A1E" w:rsidP="008E4E26">
      <w:pPr>
        <w:pStyle w:val="af2"/>
        <w:numPr>
          <w:ilvl w:val="0"/>
          <w:numId w:val="3"/>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166BEF" w:rsidRDefault="00FB0C19" w:rsidP="00FB0C19">
      <w:pPr>
        <w:pStyle w:val="af2"/>
        <w:spacing w:after="160"/>
        <w:ind w:left="567"/>
        <w:rPr>
          <w:rFonts w:ascii="Tahoma" w:hAnsi="Tahoma" w:cs="Tahoma"/>
          <w:sz w:val="20"/>
          <w:szCs w:val="20"/>
        </w:rPr>
      </w:pP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FB0C19" w:rsidRDefault="00DA05DC" w:rsidP="008E4E26">
      <w:pPr>
        <w:pStyle w:val="ae"/>
        <w:numPr>
          <w:ilvl w:val="0"/>
          <w:numId w:val="3"/>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00EB318E" w:rsidRPr="00FB0C19">
        <w:rPr>
          <w:rFonts w:ascii="Tahoma" w:hAnsi="Tahoma" w:cs="Tahoma"/>
        </w:rPr>
        <w:t xml:space="preserve">€. </w:t>
      </w:r>
      <w:r w:rsidR="00D96AC1" w:rsidRPr="00FB0C19">
        <w:rPr>
          <w:rFonts w:ascii="Tahoma" w:hAnsi="Tahoma" w:cs="Tahoma"/>
          <w:lang w:eastAsia="en-US"/>
        </w:rPr>
        <w:t xml:space="preserve"> </w:t>
      </w:r>
    </w:p>
    <w:p w14:paraId="613D3A34" w14:textId="7F88BC41" w:rsidR="00EB318E" w:rsidRPr="00FB0C19" w:rsidRDefault="00EB318E" w:rsidP="00333C16">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8E4E26">
      <w:pPr>
        <w:pStyle w:val="ae"/>
        <w:numPr>
          <w:ilvl w:val="0"/>
          <w:numId w:val="3"/>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1623B37E" w14:textId="77777777" w:rsidR="00B65F0F" w:rsidRPr="008949AC" w:rsidRDefault="00B65F0F" w:rsidP="00B65F0F">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74C7929" w14:textId="77777777" w:rsidR="00B65F0F" w:rsidRPr="00E1766D" w:rsidRDefault="00B65F0F" w:rsidP="00B65F0F">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14:paraId="3BD0E280" w14:textId="77777777" w:rsidR="00B65F0F" w:rsidRPr="00E1766D" w:rsidRDefault="00B65F0F" w:rsidP="00B65F0F">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51AA2AE7" w:rsidR="00FC1C07" w:rsidRDefault="00CF4F88" w:rsidP="00FC1C07">
      <w:pPr>
        <w:tabs>
          <w:tab w:val="num" w:pos="0"/>
        </w:tabs>
        <w:spacing w:line="200" w:lineRule="atLeast"/>
        <w:jc w:val="center"/>
        <w:rPr>
          <w:rFonts w:ascii="Tahoma" w:hAnsi="Tahoma" w:cs="Tahoma"/>
          <w:b/>
          <w:strike/>
          <w:color w:val="0070C0"/>
        </w:rPr>
      </w:pPr>
      <w:r>
        <w:rPr>
          <w:rFonts w:ascii="Tahoma" w:hAnsi="Tahoma" w:cs="Tahoma"/>
          <w:b/>
          <w:color w:val="0070C0"/>
        </w:rPr>
        <w:t>Η ΠΡΟΪΣΤΑΜΕΝΗ ΓΕΝΙΚΗΣ ΔΙΕΥΘΥΝΣΗΣ</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7D10CFA2" w14:textId="77777777" w:rsidR="00B65F0F" w:rsidRPr="00BF7E12" w:rsidRDefault="000D6546" w:rsidP="00B65F0F">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B65F0F"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6D4EEE33"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w:t>
      </w:r>
      <w:proofErr w:type="spellStart"/>
      <w:r w:rsidRPr="0021728A">
        <w:rPr>
          <w:rFonts w:ascii="Tahoma" w:hAnsi="Tahoma" w:cs="Tahoma"/>
          <w:sz w:val="18"/>
          <w:szCs w:val="18"/>
          <w:lang w:eastAsia="en-US"/>
        </w:rPr>
        <w:t>νση</w:t>
      </w:r>
      <w:proofErr w:type="spellEnd"/>
      <w:r w:rsidRPr="0021728A">
        <w:rPr>
          <w:rFonts w:ascii="Tahoma" w:hAnsi="Tahoma" w:cs="Tahoma"/>
          <w:sz w:val="18"/>
          <w:szCs w:val="18"/>
          <w:lang w:eastAsia="en-US"/>
        </w:rPr>
        <w:t xml:space="preserve"> …..)</w:t>
      </w:r>
    </w:p>
    <w:p w14:paraId="081507B4" w14:textId="77777777" w:rsidR="003A6273"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14:paraId="29D52A88" w14:textId="77777777" w:rsidR="003A6273" w:rsidRPr="005B6927"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14:paraId="71CD6856"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7028AFA3" w14:textId="08066757" w:rsidR="00FB0C19" w:rsidRDefault="00FB0C19">
      <w:pPr>
        <w:rPr>
          <w:rFonts w:ascii="Calibri" w:hAnsi="Calibri" w:cs="Calibri"/>
          <w:b/>
          <w:sz w:val="22"/>
          <w:szCs w:val="22"/>
          <w:lang w:eastAsia="en-US"/>
        </w:rPr>
      </w:pPr>
      <w:r>
        <w:rPr>
          <w:rFonts w:ascii="Calibri" w:hAnsi="Calibri" w:cs="Calibri"/>
          <w:b/>
          <w:sz w:val="22"/>
          <w:szCs w:val="22"/>
          <w:lang w:eastAsia="en-US"/>
        </w:rPr>
        <w:br w:type="page"/>
      </w:r>
    </w:p>
    <w:p w14:paraId="0A05BA4C" w14:textId="6D1ABD11" w:rsidR="000F3DB1" w:rsidRPr="00811AC6" w:rsidRDefault="008E4E26">
      <w:pPr>
        <w:rPr>
          <w:rFonts w:ascii="Tahoma" w:hAnsi="Tahoma" w:cs="Tahoma"/>
          <w:b/>
          <w:szCs w:val="18"/>
        </w:rPr>
      </w:pPr>
      <w:r w:rsidRPr="00811AC6">
        <w:rPr>
          <w:rFonts w:ascii="Tahoma" w:hAnsi="Tahoma" w:cs="Tahoma"/>
          <w:b/>
          <w:szCs w:val="18"/>
        </w:rPr>
        <w:lastRenderedPageBreak/>
        <w:t>Παράρτημα Ι : ΥΠΟΧΡΕΩΣΕΙΣ ΔΙΚΑΙΟΥΧΩΝ</w:t>
      </w:r>
    </w:p>
    <w:p w14:paraId="034E32F5" w14:textId="77777777" w:rsidR="008E4E26" w:rsidRPr="00811AC6" w:rsidRDefault="008E4E26">
      <w:pPr>
        <w:rPr>
          <w:rFonts w:ascii="Tahoma" w:hAnsi="Tahoma" w:cs="Tahoma"/>
          <w:b/>
          <w:sz w:val="18"/>
          <w:lang w:eastAsia="en-US"/>
        </w:rPr>
      </w:pPr>
    </w:p>
    <w:p w14:paraId="09974A8D" w14:textId="77777777" w:rsidR="008E4E26" w:rsidRDefault="008E4E26" w:rsidP="00811AC6">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14:paraId="75ED8B2C" w14:textId="77777777" w:rsidR="00811AC6" w:rsidRPr="00811AC6" w:rsidRDefault="00811AC6" w:rsidP="00811AC6">
      <w:pPr>
        <w:pStyle w:val="paragraph"/>
        <w:spacing w:before="0" w:beforeAutospacing="0" w:after="120" w:afterAutospacing="0"/>
        <w:ind w:left="225" w:right="210"/>
        <w:jc w:val="both"/>
        <w:textAlignment w:val="baseline"/>
        <w:rPr>
          <w:rFonts w:ascii="Tahoma" w:hAnsi="Tahoma" w:cs="Tahoma"/>
          <w:sz w:val="20"/>
          <w:szCs w:val="22"/>
        </w:rPr>
      </w:pPr>
    </w:p>
    <w:p w14:paraId="0C13BFD8"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14:paraId="6CB372EB" w14:textId="77777777" w:rsidR="008E4E26" w:rsidRPr="00811AC6" w:rsidRDefault="008E4E26" w:rsidP="00CB002F">
      <w:pPr>
        <w:pStyle w:val="paragraph"/>
        <w:numPr>
          <w:ilvl w:val="0"/>
          <w:numId w:val="4"/>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14:paraId="09C1E505" w14:textId="77777777" w:rsidR="00811AC6" w:rsidRPr="00811AC6" w:rsidRDefault="00811AC6" w:rsidP="00811AC6">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14:paraId="3B4C9D14" w14:textId="77777777" w:rsidR="008E4E26" w:rsidRPr="00811AC6" w:rsidRDefault="008E4E26" w:rsidP="00811AC6">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14:paraId="4BF7C8D7" w14:textId="77777777" w:rsidR="00811AC6" w:rsidRPr="00CB002F" w:rsidRDefault="008E4E26" w:rsidP="00CB002F">
      <w:pPr>
        <w:pStyle w:val="paragraph"/>
        <w:numPr>
          <w:ilvl w:val="0"/>
          <w:numId w:val="3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14:paraId="0532DDEA" w14:textId="722C5F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14:paraId="0B77FEBA"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14:paraId="1573D933" w14:textId="48CB9DCD"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14:paraId="186032C6" w14:textId="385835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14:paraId="3E7E793E"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14:paraId="03FCE728" w14:textId="77777777" w:rsidR="00811AC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14:paraId="300F757F" w14:textId="77777777" w:rsidR="00811AC6" w:rsidRP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14:paraId="5D3940C1"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58CB55A2"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44F11070" w14:textId="0BA1121A" w:rsidR="008E4E2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3CA23E6" w14:textId="77777777" w:rsidR="00811AC6" w:rsidRP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F107260"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14:paraId="67785016" w14:textId="4F794A71"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14:paraId="19F471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14:paraId="7F75671E" w14:textId="6593DE15"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14:paraId="2139E7E2" w14:textId="62202C3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14:paraId="16668AFB"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14:paraId="34D6ED6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14:paraId="0A977369"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14:paraId="1CABED73" w14:textId="2BC56C0C"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14:paraId="2E93C7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14:paraId="7EDCB84C"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14:paraId="65E78E7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14:paraId="57E27AE4" w14:textId="00620E75" w:rsidR="008E4E26" w:rsidRPr="0070156C" w:rsidRDefault="008E4E26" w:rsidP="00811AC6">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70156C">
        <w:rPr>
          <w:rStyle w:val="normaltextrun"/>
          <w:rFonts w:ascii="Tahoma" w:hAnsi="Tahoma" w:cs="Tahoma"/>
          <w:color w:val="000000"/>
          <w:sz w:val="20"/>
          <w:szCs w:val="22"/>
          <w:shd w:val="clear" w:color="auto" w:fill="FFFFFF"/>
        </w:rPr>
        <w:t xml:space="preserve">. </w:t>
      </w:r>
    </w:p>
    <w:p w14:paraId="17FDFF7D" w14:textId="77777777" w:rsidR="008E4E2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p>
    <w:p w14:paraId="7741CD37" w14:textId="77777777" w:rsidR="0070156C" w:rsidRPr="00811AC6" w:rsidRDefault="0070156C" w:rsidP="00811AC6">
      <w:pPr>
        <w:pStyle w:val="paragraph"/>
        <w:spacing w:before="0" w:beforeAutospacing="0" w:after="120" w:afterAutospacing="0"/>
        <w:ind w:left="465" w:right="135"/>
        <w:jc w:val="both"/>
        <w:textAlignment w:val="baseline"/>
        <w:rPr>
          <w:rFonts w:ascii="Tahoma" w:hAnsi="Tahoma" w:cs="Tahoma"/>
          <w:sz w:val="20"/>
          <w:szCs w:val="22"/>
        </w:rPr>
      </w:pPr>
    </w:p>
    <w:p w14:paraId="26917457"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14:paraId="3528FC95" w14:textId="77777777" w:rsidR="008E4E26" w:rsidRPr="00811AC6" w:rsidRDefault="008E4E26" w:rsidP="00811AC6">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14:paraId="006EA4D8" w14:textId="4171CA4D"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14:paraId="2FB6953D" w14:textId="766A4EC8"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14:paraId="0A88036E"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14:paraId="1EF84FC5"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14:paraId="3718E842"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14:paraId="51930A33" w14:textId="77777777" w:rsidR="008E4E26" w:rsidRPr="00CB002F"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14:paraId="79350F6F" w14:textId="77777777" w:rsidR="0070156C"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Default="008E4E26" w:rsidP="0070156C">
      <w:pPr>
        <w:pStyle w:val="paragraph"/>
        <w:spacing w:before="0" w:beforeAutospacing="0" w:after="120" w:afterAutospacing="0"/>
        <w:ind w:left="1185"/>
        <w:jc w:val="both"/>
        <w:textAlignment w:val="baseline"/>
        <w:rPr>
          <w:rFonts w:ascii="Tahoma" w:hAnsi="Tahoma" w:cs="Tahoma"/>
          <w:sz w:val="20"/>
          <w:szCs w:val="22"/>
        </w:rPr>
      </w:pPr>
    </w:p>
    <w:p w14:paraId="41E7E358" w14:textId="77777777" w:rsidR="0070156C"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5EF980B1" w14:textId="77777777" w:rsidR="00CB002F" w:rsidRPr="00811AC6" w:rsidRDefault="00CB002F" w:rsidP="0070156C">
      <w:pPr>
        <w:pStyle w:val="paragraph"/>
        <w:spacing w:before="0" w:beforeAutospacing="0" w:after="120" w:afterAutospacing="0"/>
        <w:ind w:left="1185"/>
        <w:jc w:val="both"/>
        <w:textAlignment w:val="baseline"/>
        <w:rPr>
          <w:rFonts w:ascii="Tahoma" w:hAnsi="Tahoma" w:cs="Tahoma"/>
          <w:sz w:val="20"/>
          <w:szCs w:val="22"/>
        </w:rPr>
      </w:pPr>
    </w:p>
    <w:p w14:paraId="2BA7BF9A"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5D6E344F" w14:textId="6F58BCF0" w:rsidR="008E4E26" w:rsidRPr="00BE5067" w:rsidRDefault="008E4E26" w:rsidP="00B65F0F">
      <w:pPr>
        <w:pStyle w:val="paragraph"/>
        <w:numPr>
          <w:ilvl w:val="0"/>
          <w:numId w:val="42"/>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14:paraId="67D9B1D5" w14:textId="77777777"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14:paraId="2588313D" w14:textId="13C7BFA6"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00414A03" w:rsidRP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14:paraId="78096FCC" w14:textId="77777777" w:rsidR="0070156C" w:rsidRDefault="0070156C" w:rsidP="0070156C">
      <w:pPr>
        <w:pStyle w:val="paragraph"/>
        <w:spacing w:before="0" w:beforeAutospacing="0" w:after="120" w:afterAutospacing="0"/>
        <w:ind w:left="1185"/>
        <w:jc w:val="both"/>
        <w:textAlignment w:val="baseline"/>
        <w:rPr>
          <w:rStyle w:val="eop"/>
          <w:rFonts w:ascii="Tahoma" w:hAnsi="Tahoma" w:cs="Tahoma"/>
          <w:color w:val="000000"/>
          <w:sz w:val="20"/>
          <w:szCs w:val="22"/>
        </w:rPr>
      </w:pPr>
    </w:p>
    <w:p w14:paraId="1D12D43B" w14:textId="77777777" w:rsidR="0070156C" w:rsidRPr="00811AC6"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74D5CA79"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48C57194"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14:paraId="59A30AB6"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14:paraId="76649D4B" w14:textId="77777777" w:rsidR="0070156C" w:rsidRDefault="0070156C" w:rsidP="0070156C">
      <w:pPr>
        <w:pStyle w:val="paragraph"/>
        <w:spacing w:before="0" w:beforeAutospacing="0" w:after="120" w:afterAutospacing="0"/>
        <w:jc w:val="both"/>
        <w:textAlignment w:val="baseline"/>
        <w:rPr>
          <w:rStyle w:val="eop"/>
          <w:rFonts w:ascii="Tahoma" w:hAnsi="Tahoma" w:cs="Tahoma"/>
          <w:color w:val="000000"/>
          <w:sz w:val="20"/>
          <w:szCs w:val="22"/>
        </w:rPr>
      </w:pPr>
    </w:p>
    <w:p w14:paraId="0CF3397D" w14:textId="77777777" w:rsidR="0070156C" w:rsidRPr="00811AC6" w:rsidRDefault="0070156C" w:rsidP="0070156C">
      <w:pPr>
        <w:pStyle w:val="paragraph"/>
        <w:spacing w:before="0" w:beforeAutospacing="0" w:after="120" w:afterAutospacing="0"/>
        <w:jc w:val="both"/>
        <w:textAlignment w:val="baseline"/>
        <w:rPr>
          <w:rFonts w:ascii="Tahoma" w:hAnsi="Tahoma" w:cs="Tahoma"/>
          <w:sz w:val="20"/>
          <w:szCs w:val="22"/>
        </w:rPr>
      </w:pPr>
    </w:p>
    <w:p w14:paraId="5EDEE10D"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276C9002" w14:textId="0C579778" w:rsidR="008E4E26" w:rsidRPr="00811AC6" w:rsidRDefault="008E4E26" w:rsidP="00DD594A">
      <w:pPr>
        <w:pStyle w:val="paragraph"/>
        <w:numPr>
          <w:ilvl w:val="0"/>
          <w:numId w:val="32"/>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4" w:tgtFrame="_blank" w:history="1">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14:paraId="0E95222D" w14:textId="77777777" w:rsidR="00BE5067" w:rsidRPr="00BE5067" w:rsidRDefault="008E4E26" w:rsidP="00F3731E">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9B37188" w14:textId="0A4CC1F0" w:rsidR="008E4E26" w:rsidRPr="00BE5067" w:rsidRDefault="008E4E26" w:rsidP="00F3731E">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00BE5067" w:rsidRP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C9EB3F2" w14:textId="77777777" w:rsidR="00BE5067" w:rsidRPr="00BE5067" w:rsidRDefault="008E4E26" w:rsidP="00792FF9">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14:paraId="04937346" w14:textId="77777777" w:rsidR="00BE5067" w:rsidRPr="00BE5067" w:rsidRDefault="008E4E26" w:rsidP="00CD6F03">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14:paraId="74178945" w14:textId="27B9FD4D" w:rsidR="008E4E26" w:rsidRPr="00BE5067" w:rsidRDefault="008E4E26" w:rsidP="00CD6F03">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0070156C" w:rsidRPr="00BE5067">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14:paraId="45FA0497" w14:textId="77777777" w:rsidR="008E4E26" w:rsidRPr="00811AC6" w:rsidRDefault="008E4E26" w:rsidP="0070156C">
      <w:pPr>
        <w:pStyle w:val="paragraph"/>
        <w:numPr>
          <w:ilvl w:val="0"/>
          <w:numId w:val="33"/>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14:paraId="238EFDAF" w14:textId="370BB57B" w:rsidR="008E4E26" w:rsidRPr="00DD594A" w:rsidRDefault="008E4E26" w:rsidP="00DD594A">
      <w:pPr>
        <w:pStyle w:val="paragraph"/>
        <w:numPr>
          <w:ilvl w:val="0"/>
          <w:numId w:val="32"/>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14:paraId="7F181AC3" w14:textId="41338DED"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14:paraId="36F70DD1" w14:textId="71D8A745"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14:paraId="4DBE0F81" w14:textId="54C44228"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14:paraId="201B7199" w14:textId="77777777" w:rsidR="00CB002F" w:rsidRDefault="008E4E26" w:rsidP="00CB002F">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14:paraId="320B5AE3"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Default="00E423D4"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B20F81" w:rsidRDefault="00B20F81" w:rsidP="00E425D8">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14:paraId="2018E774" w14:textId="4BD1C451" w:rsidR="002E6C16" w:rsidRPr="00E425D8" w:rsidRDefault="00E425D8" w:rsidP="00E425D8">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14:paraId="5F91C8A0" w14:textId="3104A44B" w:rsidR="008E4E26" w:rsidRPr="0070156C"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r:id="rId15" w:tgtFrame="_blank" w:history="1">
        <w:r w:rsidR="00E425D8" w:rsidRPr="0070156C">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14:paraId="677494CD" w14:textId="77777777" w:rsidR="008E4E26" w:rsidRPr="00811AC6" w:rsidRDefault="008E4E26" w:rsidP="00811AC6">
      <w:pPr>
        <w:pStyle w:val="paragraph"/>
        <w:spacing w:before="0" w:beforeAutospacing="0" w:after="120" w:afterAutospacing="0"/>
        <w:ind w:left="1185"/>
        <w:jc w:val="both"/>
        <w:textAlignment w:val="baseline"/>
        <w:rPr>
          <w:rFonts w:ascii="Tahoma" w:hAnsi="Tahoma" w:cs="Tahoma"/>
          <w:sz w:val="20"/>
          <w:szCs w:val="22"/>
        </w:rPr>
      </w:pPr>
    </w:p>
    <w:p w14:paraId="76CA99EF"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14:paraId="558050AC" w14:textId="77777777"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14:paraId="36A3B139" w14:textId="7B29A232"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14:paraId="40D2B046" w14:textId="4FC83CCF"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14:paraId="3D1F27D3" w14:textId="77777777" w:rsidR="008707A3"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8707A3" w:rsidRDefault="008E4E26" w:rsidP="008707A3">
      <w:pPr>
        <w:pStyle w:val="paragraph"/>
        <w:numPr>
          <w:ilvl w:val="0"/>
          <w:numId w:val="40"/>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14:paraId="291D47A8"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6352BFE3"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7FA5B1DD" w14:textId="77777777" w:rsidR="008707A3" w:rsidRDefault="008E4E26" w:rsidP="008707A3">
      <w:pPr>
        <w:pStyle w:val="paragraph"/>
        <w:numPr>
          <w:ilvl w:val="0"/>
          <w:numId w:val="41"/>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14:paraId="21942BF6" w14:textId="1ED84BB5" w:rsidR="008707A3" w:rsidRPr="008707A3" w:rsidRDefault="008E4E26" w:rsidP="008707A3">
      <w:pPr>
        <w:pStyle w:val="paragraph"/>
        <w:numPr>
          <w:ilvl w:val="0"/>
          <w:numId w:val="40"/>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Default="008E4E26" w:rsidP="008707A3">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14:paraId="37CA1D80" w14:textId="77777777" w:rsidR="00B65F0F" w:rsidRDefault="00B65F0F"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6C067883" w14:textId="77777777" w:rsidR="00E423D4" w:rsidRPr="00DD4A1A" w:rsidRDefault="00E423D4"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5BADEED1" w14:textId="29E4C5DB" w:rsidR="00B65F0F" w:rsidRPr="00B65F0F" w:rsidRDefault="00B65F0F" w:rsidP="00B65F0F">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14:paraId="2C549305" w14:textId="5596C4DF" w:rsidR="00B17255" w:rsidRPr="003E6CF5" w:rsidRDefault="00B65F0F" w:rsidP="000342D5">
      <w:pPr>
        <w:pStyle w:val="paragraph"/>
        <w:spacing w:before="120" w:beforeAutospacing="0" w:after="120" w:afterAutospacing="0" w:line="280" w:lineRule="atLeast"/>
        <w:ind w:left="1650"/>
        <w:jc w:val="both"/>
        <w:textAlignment w:val="baseline"/>
        <w:rPr>
          <w:rFonts w:ascii="Tahoma" w:hAnsi="Tahoma" w:cs="Tahoma"/>
          <w:b/>
          <w:szCs w:val="22"/>
          <w:lang w:eastAsia="en-US"/>
        </w:rPr>
      </w:pPr>
      <w:r w:rsidRPr="003E6CF5">
        <w:rPr>
          <w:rStyle w:val="normaltextrun"/>
          <w:rFonts w:ascii="Tahoma" w:hAnsi="Tahoma" w:cs="Tahoma"/>
          <w:color w:val="000000"/>
          <w:sz w:val="20"/>
          <w:szCs w:val="22"/>
          <w:shd w:val="clear" w:color="auto" w:fill="FFFFFF"/>
        </w:rPr>
        <w:t xml:space="preserve"> </w:t>
      </w:r>
    </w:p>
    <w:sectPr w:rsidR="00B17255" w:rsidRPr="003E6CF5" w:rsidSect="00491828">
      <w:headerReference w:type="default" r:id="rId16"/>
      <w:footerReference w:type="even" r:id="rId17"/>
      <w:footerReference w:type="default" r:id="rId18"/>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D441F" w14:textId="77777777" w:rsidR="00794B40" w:rsidRDefault="00794B40">
      <w:r>
        <w:separator/>
      </w:r>
    </w:p>
    <w:p w14:paraId="519B3D4A" w14:textId="77777777" w:rsidR="00794B40" w:rsidRDefault="00794B40"/>
  </w:endnote>
  <w:endnote w:type="continuationSeparator" w:id="0">
    <w:p w14:paraId="35381F6B" w14:textId="77777777" w:rsidR="00794B40" w:rsidRDefault="00794B40">
      <w:r>
        <w:continuationSeparator/>
      </w:r>
    </w:p>
    <w:p w14:paraId="451A26AF" w14:textId="77777777" w:rsidR="00794B40" w:rsidRDefault="00794B40"/>
  </w:endnote>
  <w:endnote w:type="continuationNotice" w:id="1">
    <w:p w14:paraId="2F90E75A" w14:textId="77777777" w:rsidR="00794B40" w:rsidRDefault="00794B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B0C19" w:rsidRPr="00CB47BE" w14:paraId="55511A74" w14:textId="77777777" w:rsidTr="00311997">
      <w:trPr>
        <w:jc w:val="center"/>
      </w:trPr>
      <w:tc>
        <w:tcPr>
          <w:tcW w:w="3383" w:type="dxa"/>
          <w:shd w:val="clear" w:color="auto" w:fill="auto"/>
        </w:tcPr>
        <w:p w14:paraId="5E18E5CD" w14:textId="77777777" w:rsidR="00FB0C19" w:rsidRPr="00E57A4E" w:rsidRDefault="00FB0C19" w:rsidP="00FB0C19">
          <w:pPr>
            <w:spacing w:before="60"/>
            <w:rPr>
              <w:rFonts w:ascii="Tahoma" w:hAnsi="Tahoma" w:cs="Tahoma"/>
              <w:b/>
              <w:bCs/>
              <w:sz w:val="16"/>
              <w:szCs w:val="16"/>
            </w:rPr>
          </w:pPr>
          <w:r w:rsidRPr="00E57A4E">
            <w:rPr>
              <w:rFonts w:ascii="Tahoma" w:hAnsi="Tahoma" w:cs="Tahoma"/>
              <w:b/>
              <w:bCs/>
              <w:sz w:val="16"/>
              <w:szCs w:val="16"/>
            </w:rPr>
            <w:t>ΚΩΔ. ΟΠΣ</w:t>
          </w:r>
        </w:p>
        <w:p w14:paraId="7C34D032" w14:textId="77777777" w:rsidR="00FB0C19" w:rsidRPr="000B6454" w:rsidRDefault="00FB0C19" w:rsidP="00FB0C19">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11240F7E" w14:textId="77777777" w:rsidR="00FB0C19" w:rsidRPr="000B6454" w:rsidRDefault="00FB0C19" w:rsidP="00FB0C19">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2F731C08" w14:textId="77777777" w:rsidR="00FB0C19" w:rsidRPr="00F65043" w:rsidRDefault="00FB0C19" w:rsidP="00FB0C19">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6E072EC7" w14:textId="77777777" w:rsidR="00FB0C19" w:rsidRPr="00F65043" w:rsidRDefault="00FB0C19" w:rsidP="00FB0C19">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7</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49A7A43" w14:textId="77777777" w:rsidR="00FB0C19" w:rsidRPr="00CB47BE" w:rsidRDefault="00FB0C19" w:rsidP="00FB0C19">
          <w:pPr>
            <w:spacing w:before="60"/>
            <w:jc w:val="right"/>
            <w:rPr>
              <w:bCs/>
            </w:rPr>
          </w:pPr>
        </w:p>
      </w:tc>
    </w:tr>
  </w:tbl>
  <w:p w14:paraId="2F0E8775" w14:textId="77777777" w:rsidR="00FB0C19" w:rsidRDefault="00FB0C1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491828" w:rsidRPr="00CB47BE" w14:paraId="14A41281" w14:textId="77777777" w:rsidTr="00311997">
      <w:trPr>
        <w:jc w:val="center"/>
      </w:trPr>
      <w:tc>
        <w:tcPr>
          <w:tcW w:w="3383" w:type="dxa"/>
          <w:shd w:val="clear" w:color="auto" w:fill="auto"/>
        </w:tcPr>
        <w:p w14:paraId="38266645" w14:textId="77777777" w:rsidR="00491828" w:rsidRPr="00E57A4E" w:rsidRDefault="00491828" w:rsidP="00491828">
          <w:pPr>
            <w:spacing w:before="60"/>
            <w:rPr>
              <w:rFonts w:ascii="Tahoma" w:hAnsi="Tahoma" w:cs="Tahoma"/>
              <w:b/>
              <w:bCs/>
              <w:sz w:val="16"/>
              <w:szCs w:val="16"/>
            </w:rPr>
          </w:pPr>
          <w:r w:rsidRPr="00E57A4E">
            <w:rPr>
              <w:rFonts w:ascii="Tahoma" w:hAnsi="Tahoma" w:cs="Tahoma"/>
              <w:b/>
              <w:bCs/>
              <w:sz w:val="16"/>
              <w:szCs w:val="16"/>
            </w:rPr>
            <w:t>ΚΩΔ. ΟΠΣ</w:t>
          </w:r>
        </w:p>
        <w:p w14:paraId="342E2701" w14:textId="77777777" w:rsidR="00491828" w:rsidRPr="000B6454" w:rsidRDefault="00491828" w:rsidP="00491828">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699B2535" w14:textId="77777777" w:rsidR="00491828" w:rsidRPr="000B6454" w:rsidRDefault="00491828" w:rsidP="00491828">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7FEF45E8" w14:textId="77777777" w:rsidR="00491828" w:rsidRPr="00F65043" w:rsidRDefault="00491828" w:rsidP="00491828">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1959C574" w14:textId="77777777" w:rsidR="00491828" w:rsidRPr="00F65043" w:rsidRDefault="00491828" w:rsidP="00491828">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16</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3F8A379" w14:textId="77777777" w:rsidR="00491828" w:rsidRPr="00CB47BE" w:rsidRDefault="00491828" w:rsidP="00491828">
          <w:pPr>
            <w:spacing w:before="60"/>
            <w:jc w:val="right"/>
            <w:rPr>
              <w:bCs/>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A1963" w14:textId="77777777" w:rsidR="00794B40" w:rsidRDefault="00794B40">
      <w:r>
        <w:separator/>
      </w:r>
    </w:p>
    <w:p w14:paraId="72DCA3C2" w14:textId="77777777" w:rsidR="00794B40" w:rsidRDefault="00794B40"/>
  </w:footnote>
  <w:footnote w:type="continuationSeparator" w:id="0">
    <w:p w14:paraId="66DCBEE8" w14:textId="77777777" w:rsidR="00794B40" w:rsidRDefault="00794B40">
      <w:r>
        <w:continuationSeparator/>
      </w:r>
    </w:p>
    <w:p w14:paraId="3D94BA13" w14:textId="77777777" w:rsidR="00794B40" w:rsidRDefault="00794B40"/>
  </w:footnote>
  <w:footnote w:type="continuationNotice" w:id="1">
    <w:p w14:paraId="316C7E2E" w14:textId="77777777" w:rsidR="00794B40" w:rsidRDefault="00794B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BB5858"/>
    <w:multiLevelType w:val="multilevel"/>
    <w:tmpl w:val="E578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15"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CC5429"/>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0"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724B2C"/>
    <w:multiLevelType w:val="hybridMultilevel"/>
    <w:tmpl w:val="4E7E980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5"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6" w15:restartNumberingAfterBreak="0">
    <w:nsid w:val="423E7F53"/>
    <w:multiLevelType w:val="multilevel"/>
    <w:tmpl w:val="53AC3D7A"/>
    <w:lvl w:ilvl="0">
      <w:start w:val="7"/>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E70A80"/>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AA1B3E"/>
    <w:multiLevelType w:val="multilevel"/>
    <w:tmpl w:val="A802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0C68CB"/>
    <w:multiLevelType w:val="multilevel"/>
    <w:tmpl w:val="1F62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88B0385"/>
    <w:multiLevelType w:val="multilevel"/>
    <w:tmpl w:val="7036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40"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2905953">
    <w:abstractNumId w:val="6"/>
  </w:num>
  <w:num w:numId="2" w16cid:durableId="824518151">
    <w:abstractNumId w:val="43"/>
  </w:num>
  <w:num w:numId="3" w16cid:durableId="798229271">
    <w:abstractNumId w:val="5"/>
  </w:num>
  <w:num w:numId="4" w16cid:durableId="345255654">
    <w:abstractNumId w:val="33"/>
  </w:num>
  <w:num w:numId="5" w16cid:durableId="665354231">
    <w:abstractNumId w:val="22"/>
  </w:num>
  <w:num w:numId="6" w16cid:durableId="1855266194">
    <w:abstractNumId w:val="45"/>
  </w:num>
  <w:num w:numId="7" w16cid:durableId="946622131">
    <w:abstractNumId w:val="16"/>
  </w:num>
  <w:num w:numId="8" w16cid:durableId="227687975">
    <w:abstractNumId w:val="20"/>
  </w:num>
  <w:num w:numId="9" w16cid:durableId="2113282280">
    <w:abstractNumId w:val="13"/>
  </w:num>
  <w:num w:numId="10" w16cid:durableId="83503328">
    <w:abstractNumId w:val="26"/>
  </w:num>
  <w:num w:numId="11" w16cid:durableId="429084501">
    <w:abstractNumId w:val="8"/>
  </w:num>
  <w:num w:numId="12" w16cid:durableId="155657803">
    <w:abstractNumId w:val="31"/>
  </w:num>
  <w:num w:numId="13" w16cid:durableId="72166907">
    <w:abstractNumId w:val="40"/>
  </w:num>
  <w:num w:numId="14" w16cid:durableId="270010827">
    <w:abstractNumId w:val="36"/>
  </w:num>
  <w:num w:numId="15" w16cid:durableId="2060477290">
    <w:abstractNumId w:val="2"/>
  </w:num>
  <w:num w:numId="16" w16cid:durableId="1735280013">
    <w:abstractNumId w:val="32"/>
  </w:num>
  <w:num w:numId="17" w16cid:durableId="969238668">
    <w:abstractNumId w:val="17"/>
  </w:num>
  <w:num w:numId="18" w16cid:durableId="516313482">
    <w:abstractNumId w:val="41"/>
  </w:num>
  <w:num w:numId="19" w16cid:durableId="1578588242">
    <w:abstractNumId w:val="46"/>
  </w:num>
  <w:num w:numId="20" w16cid:durableId="1792242266">
    <w:abstractNumId w:val="7"/>
  </w:num>
  <w:num w:numId="21" w16cid:durableId="1228957925">
    <w:abstractNumId w:val="11"/>
  </w:num>
  <w:num w:numId="22" w16cid:durableId="892155993">
    <w:abstractNumId w:val="42"/>
  </w:num>
  <w:num w:numId="23" w16cid:durableId="1693872130">
    <w:abstractNumId w:val="0"/>
  </w:num>
  <w:num w:numId="24" w16cid:durableId="444006851">
    <w:abstractNumId w:val="12"/>
  </w:num>
  <w:num w:numId="25" w16cid:durableId="1988823070">
    <w:abstractNumId w:val="35"/>
  </w:num>
  <w:num w:numId="26" w16cid:durableId="2017071403">
    <w:abstractNumId w:val="30"/>
  </w:num>
  <w:num w:numId="27" w16cid:durableId="1335763339">
    <w:abstractNumId w:val="15"/>
  </w:num>
  <w:num w:numId="28" w16cid:durableId="1298486189">
    <w:abstractNumId w:val="47"/>
  </w:num>
  <w:num w:numId="29" w16cid:durableId="1339431481">
    <w:abstractNumId w:val="27"/>
  </w:num>
  <w:num w:numId="30" w16cid:durableId="412165864">
    <w:abstractNumId w:val="9"/>
  </w:num>
  <w:num w:numId="31" w16cid:durableId="1557619098">
    <w:abstractNumId w:val="34"/>
  </w:num>
  <w:num w:numId="32" w16cid:durableId="1671982514">
    <w:abstractNumId w:val="19"/>
  </w:num>
  <w:num w:numId="33" w16cid:durableId="941305005">
    <w:abstractNumId w:val="14"/>
  </w:num>
  <w:num w:numId="34" w16cid:durableId="1562712258">
    <w:abstractNumId w:val="25"/>
  </w:num>
  <w:num w:numId="35" w16cid:durableId="51924739">
    <w:abstractNumId w:val="1"/>
  </w:num>
  <w:num w:numId="36" w16cid:durableId="1870028500">
    <w:abstractNumId w:val="29"/>
  </w:num>
  <w:num w:numId="37" w16cid:durableId="218982947">
    <w:abstractNumId w:val="10"/>
  </w:num>
  <w:num w:numId="38" w16cid:durableId="919867375">
    <w:abstractNumId w:val="28"/>
  </w:num>
  <w:num w:numId="39" w16cid:durableId="1985161427">
    <w:abstractNumId w:val="18"/>
  </w:num>
  <w:num w:numId="40" w16cid:durableId="921375164">
    <w:abstractNumId w:val="24"/>
  </w:num>
  <w:num w:numId="41" w16cid:durableId="361781574">
    <w:abstractNumId w:val="4"/>
  </w:num>
  <w:num w:numId="42" w16cid:durableId="1043554452">
    <w:abstractNumId w:val="44"/>
  </w:num>
  <w:num w:numId="43" w16cid:durableId="627052880">
    <w:abstractNumId w:val="37"/>
  </w:num>
  <w:num w:numId="44" w16cid:durableId="786700640">
    <w:abstractNumId w:val="21"/>
  </w:num>
  <w:num w:numId="45" w16cid:durableId="1830437418">
    <w:abstractNumId w:val="38"/>
  </w:num>
  <w:num w:numId="46" w16cid:durableId="428350443">
    <w:abstractNumId w:val="39"/>
  </w:num>
  <w:num w:numId="47" w16cid:durableId="970090876">
    <w:abstractNumId w:val="23"/>
  </w:num>
  <w:num w:numId="48" w16cid:durableId="748621208">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82B"/>
    <w:rsid w:val="008777CB"/>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56E3932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igration.gov.gr/m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gration.gov.gr/m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3.xml><?xml version="1.0" encoding="utf-8"?>
<ds:datastoreItem xmlns:ds="http://schemas.openxmlformats.org/officeDocument/2006/customXml" ds:itemID="{37374734-2C65-4F67-AFAC-07E7B0233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5167</Words>
  <Characters>27905</Characters>
  <Application>Microsoft Office Word</Application>
  <DocSecurity>0</DocSecurity>
  <Lines>232</Lines>
  <Paragraphs>66</Paragraphs>
  <ScaleCrop>false</ScaleCrop>
  <Company>Uknown</Company>
  <LinksUpToDate>false</LinksUpToDate>
  <CharactersWithSpaces>33006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Βασιλική Ευθυμιάδου</cp:lastModifiedBy>
  <cp:revision>23</cp:revision>
  <cp:lastPrinted>2022-11-15T02:54:00Z</cp:lastPrinted>
  <dcterms:created xsi:type="dcterms:W3CDTF">2022-12-22T15:28:00Z</dcterms:created>
  <dcterms:modified xsi:type="dcterms:W3CDTF">2023-02-23T11:52:00Z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