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45890" w14:textId="28AE000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6907C" w14:textId="79C1B22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</w:t>
            </w:r>
            <w:r w:rsidR="003B268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12A0F" w14:textId="77777777" w:rsidR="006412B4" w:rsidRDefault="00120912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</w:p>
          <w:p w14:paraId="5B35F39A" w14:textId="77777777" w:rsidR="008F4F74" w:rsidRDefault="008F4F74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9CE091" w14:textId="01204D26" w:rsidR="00147042" w:rsidRDefault="00A843AC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 xml:space="preserve">φυσικό πρόσωπο που ωφελείται άμεσα από </w:t>
            </w:r>
            <w:r w:rsidR="00E97679" w:rsidRPr="009A3A9F">
              <w:rPr>
                <w:rFonts w:ascii="Arial" w:hAnsi="Arial" w:cs="Arial"/>
                <w:color w:val="000000"/>
                <w:sz w:val="18"/>
                <w:szCs w:val="18"/>
              </w:rPr>
              <w:t xml:space="preserve">μια διαδικασία, χωρίς να έχει την ευθύνη έναρξης και εφαρμογής της διαδικασίας, όπως ορίζεται στο άρθρο </w:t>
            </w:r>
            <w:r w:rsidR="00E97679" w:rsidRPr="000E56F6">
              <w:rPr>
                <w:rFonts w:ascii="Arial" w:hAnsi="Arial" w:cs="Arial"/>
                <w:sz w:val="18"/>
                <w:szCs w:val="18"/>
              </w:rPr>
              <w:t>2(40)</w:t>
            </w:r>
            <w:r w:rsidR="00E97679" w:rsidRPr="00C6424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7679">
              <w:rPr>
                <w:rFonts w:ascii="Arial" w:hAnsi="Arial" w:cs="Arial"/>
                <w:sz w:val="18"/>
                <w:szCs w:val="18"/>
              </w:rPr>
              <w:t>του ΚΔΔ</w:t>
            </w:r>
            <w:r w:rsidR="00E97679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ακόλουθα:</w:t>
            </w:r>
          </w:p>
          <w:p w14:paraId="20D5F62B" w14:textId="77777777" w:rsidR="00147042" w:rsidRDefault="00147042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B2682" w:rsidRPr="00947774" w14:paraId="0233996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690F3C" w14:textId="77777777" w:rsidR="006412B4" w:rsidRDefault="00C5552A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947774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participants supported</w:t>
            </w:r>
            <w:r w:rsidR="005A0D9C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0DDD9587" w14:textId="77777777" w:rsidR="008F4F74" w:rsidRDefault="008F4F74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  <w:p w14:paraId="3F31CF88" w14:textId="0C0583F8" w:rsidR="00A854F7" w:rsidRPr="00C823D6" w:rsidRDefault="00A854F7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both initiating </w:t>
            </w:r>
            <w:proofErr w:type="gramStart"/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and 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implementing</w:t>
            </w:r>
            <w:proofErr w:type="gramEnd"/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the operation (project) as set out in Art. 2(</w:t>
            </w:r>
            <w:r w:rsidR="001D68D4" w:rsidRPr="008F4F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 CPR. For the purpose of this indicator, a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is a third country national. Support to participants includes, without being limited to, the following:</w:t>
            </w:r>
          </w:p>
          <w:p w14:paraId="74F37609" w14:textId="6C90EF41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Language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course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B042B1C" w14:textId="5D99A343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Civic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orientation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course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29F6A41F" w14:textId="643C76F4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Social orientation guidance including mentoring,</w:t>
            </w:r>
          </w:p>
          <w:p w14:paraId="7602EFA8" w14:textId="34D52C4B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Support to access basic services like health/housing </w:t>
            </w:r>
            <w:proofErr w:type="gramStart"/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e.g.</w:t>
            </w:r>
            <w:proofErr w:type="gramEnd"/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through interpretation</w:t>
            </w:r>
          </w:p>
          <w:p w14:paraId="69B0FB49" w14:textId="353E99E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Personal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professional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guidance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45A51814" w14:textId="08B02985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Support to get qualification or skills acquired in a third country to be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recognised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or assessed,</w:t>
            </w:r>
          </w:p>
          <w:p w14:paraId="69999B11" w14:textId="2C8C126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apply for long-term status,</w:t>
            </w:r>
          </w:p>
          <w:p w14:paraId="4645E373" w14:textId="4B84C257" w:rsidR="00947774" w:rsidRPr="00947774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 xml:space="preserve">Legal </w:t>
            </w:r>
            <w:proofErr w:type="spellStart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counselling</w:t>
            </w:r>
            <w:proofErr w:type="spellEnd"/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8B1C5A" w14:paraId="7588333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2B919" w14:textId="1ADDD351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r w:rsidR="0D1E658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18D5D" w14:textId="419D99CF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B80F" w14:textId="513B2107" w:rsidR="00313846" w:rsidRDefault="003138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EEE4" w14:textId="7A728088" w:rsidR="00313846" w:rsidRDefault="00782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8B1C5A" w14:paraId="79301C8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CD10E" w14:textId="6E777B9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>Δεν αφορά</w:t>
            </w:r>
          </w:p>
        </w:tc>
      </w:tr>
      <w:tr w:rsidR="008B1C5A" w14:paraId="48840CA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1E327" w14:textId="3A5D454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ΟΧΙ</w:t>
            </w:r>
          </w:p>
        </w:tc>
      </w:tr>
      <w:tr w:rsidR="008B1C5A" w14:paraId="2664DE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0993A" w14:textId="36176D90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OXI</w:t>
            </w:r>
          </w:p>
        </w:tc>
      </w:tr>
      <w:tr w:rsidR="00431A25" w14:paraId="1248EF1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9D3A4" w14:textId="263F9D73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B1C5A" w14:paraId="0BCC96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4019"/>
      </w:tblGrid>
      <w:tr w:rsidR="005A0D9C" w14:paraId="1812A4D9" w14:textId="77777777" w:rsidTr="005A0D9C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5A0D9C" w14:paraId="7869D187" w14:textId="77777777" w:rsidTr="005A0D9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35D4A"/>
    <w:rsid w:val="00094C52"/>
    <w:rsid w:val="00120912"/>
    <w:rsid w:val="00147042"/>
    <w:rsid w:val="001D68D4"/>
    <w:rsid w:val="002810F1"/>
    <w:rsid w:val="00313846"/>
    <w:rsid w:val="00340AE6"/>
    <w:rsid w:val="00383E3F"/>
    <w:rsid w:val="003B2682"/>
    <w:rsid w:val="00431A25"/>
    <w:rsid w:val="00471806"/>
    <w:rsid w:val="004C3E5E"/>
    <w:rsid w:val="004E5199"/>
    <w:rsid w:val="005A0D9C"/>
    <w:rsid w:val="005E34F2"/>
    <w:rsid w:val="006412B4"/>
    <w:rsid w:val="00645C20"/>
    <w:rsid w:val="0074058A"/>
    <w:rsid w:val="00766954"/>
    <w:rsid w:val="0078254F"/>
    <w:rsid w:val="007E2278"/>
    <w:rsid w:val="00844849"/>
    <w:rsid w:val="008B1C5A"/>
    <w:rsid w:val="008F4F74"/>
    <w:rsid w:val="00916DC9"/>
    <w:rsid w:val="00947774"/>
    <w:rsid w:val="009A7234"/>
    <w:rsid w:val="00A349D4"/>
    <w:rsid w:val="00A843AC"/>
    <w:rsid w:val="00A854F7"/>
    <w:rsid w:val="00AC7E7C"/>
    <w:rsid w:val="00B94C8A"/>
    <w:rsid w:val="00BA5AB8"/>
    <w:rsid w:val="00C5537D"/>
    <w:rsid w:val="00C5552A"/>
    <w:rsid w:val="00C823D6"/>
    <w:rsid w:val="00CA1A4D"/>
    <w:rsid w:val="00CB4E22"/>
    <w:rsid w:val="00CF10A8"/>
    <w:rsid w:val="00E01F1F"/>
    <w:rsid w:val="00E20730"/>
    <w:rsid w:val="00E95616"/>
    <w:rsid w:val="00E97679"/>
    <w:rsid w:val="00F94FCC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E4B631-693C-4D4E-8D41-1CDCC7F5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353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Alexandra Briasouli</cp:lastModifiedBy>
  <cp:revision>45</cp:revision>
  <dcterms:created xsi:type="dcterms:W3CDTF">2023-01-13T11:48:00Z</dcterms:created>
  <dcterms:modified xsi:type="dcterms:W3CDTF">2023-05-29T08:27:00Z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