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5F012" w14:textId="2ED62519" w:rsidR="00B46C19" w:rsidRPr="00B47B3C" w:rsidRDefault="002E10A9" w:rsidP="00B47B3C">
      <w:pPr>
        <w:jc w:val="center"/>
        <w:rPr>
          <w:b/>
          <w:bCs/>
          <w:u w:val="single"/>
        </w:rPr>
      </w:pPr>
      <w:r w:rsidRPr="00B47B3C">
        <w:rPr>
          <w:b/>
          <w:bCs/>
          <w:u w:val="single"/>
        </w:rPr>
        <w:t>Περιεχόμενο του συμφωνητικού συνεργασίας μεταξύ των δικαιούχων</w:t>
      </w:r>
    </w:p>
    <w:p w14:paraId="3CAD7A85" w14:textId="1B4734B1" w:rsidR="002E10A9" w:rsidRDefault="002E10A9" w:rsidP="00B47B3C">
      <w:pPr>
        <w:jc w:val="both"/>
      </w:pPr>
      <w:r>
        <w:t>Το συμφωνητικό πρέπει να ρυθμίζει</w:t>
      </w:r>
      <w:r w:rsidR="00510896">
        <w:t xml:space="preserve"> και να περιλαμβάνει</w:t>
      </w:r>
      <w:r>
        <w:t xml:space="preserve"> κατ΄ ελάχιστον τα παρακάτω ζητήματα:</w:t>
      </w:r>
    </w:p>
    <w:p w14:paraId="6BBB6869" w14:textId="66634954" w:rsidR="002E10A9" w:rsidRDefault="002E10A9" w:rsidP="00B47B3C">
      <w:pPr>
        <w:pStyle w:val="a3"/>
        <w:numPr>
          <w:ilvl w:val="0"/>
          <w:numId w:val="1"/>
        </w:numPr>
        <w:jc w:val="both"/>
      </w:pPr>
      <w:r>
        <w:t xml:space="preserve">Φυσικό Αντικείμενο. Στην ενότητα αυτή </w:t>
      </w:r>
      <w:r w:rsidR="00D0445D">
        <w:t xml:space="preserve">θα πρέπει να </w:t>
      </w:r>
      <w:r>
        <w:t>περιγράφεται ο σκοπός</w:t>
      </w:r>
      <w:r w:rsidR="00D0445D">
        <w:t>,</w:t>
      </w:r>
      <w:r>
        <w:t xml:space="preserve"> το αντικείμενο </w:t>
      </w:r>
      <w:r w:rsidR="00D0445D">
        <w:t xml:space="preserve">καθώς και ο τρόπος </w:t>
      </w:r>
      <w:r>
        <w:t>της συνεργασίας</w:t>
      </w:r>
      <w:r w:rsidR="009C0F84">
        <w:t xml:space="preserve"> των εταίρων-δικαιούχων. Θα πρέπει να εξειδικεύονται</w:t>
      </w:r>
      <w:r w:rsidR="003D1A00">
        <w:t xml:space="preserve"> οι προϋποθέσεις και τα δεδομένα βάσει των οποίων θα γίνεται ο καταμερισμός των θέσεων</w:t>
      </w:r>
      <w:r w:rsidR="002453FF">
        <w:t xml:space="preserve"> </w:t>
      </w:r>
      <w:r>
        <w:t xml:space="preserve">των εντεταλμένων επιτροπείας και των συντονιστών τους ανά </w:t>
      </w:r>
      <w:r w:rsidR="00A56B39">
        <w:t xml:space="preserve">την επικράτεια, </w:t>
      </w:r>
      <w:r>
        <w:t xml:space="preserve">προκειμένου να καλύπτεται </w:t>
      </w:r>
      <w:r w:rsidR="007F3AA7">
        <w:t xml:space="preserve">το σύνολο των αναγκών παροχής υπηρεσιών επιτροπείας σε όλη την ελληνική επικράτεια </w:t>
      </w:r>
      <w:r w:rsidR="005A5555">
        <w:t>και να διασφαλίζεται η τήρηση των διατάξεων της</w:t>
      </w:r>
      <w:r>
        <w:t xml:space="preserve"> παρ. 3 του άρθρου 66ΙΣΤ του ν. 4939/2022. </w:t>
      </w:r>
      <w:r w:rsidR="00344918">
        <w:t>Παράλληλα θα πρέπει να καθορίζεται</w:t>
      </w:r>
      <w:r>
        <w:t xml:space="preserve"> το πλαίσιο συνεργασίας των </w:t>
      </w:r>
      <w:r w:rsidR="00AD336E">
        <w:t xml:space="preserve">εταίρων </w:t>
      </w:r>
      <w:r>
        <w:t>και οι αμοιβαίες υποχρεώσεις</w:t>
      </w:r>
      <w:r w:rsidR="00AD336E">
        <w:t xml:space="preserve"> τους</w:t>
      </w:r>
      <w:r>
        <w:t>.</w:t>
      </w:r>
    </w:p>
    <w:p w14:paraId="73DE4D25" w14:textId="3D299CCA" w:rsidR="00510896" w:rsidRDefault="002E10A9" w:rsidP="00B47B3C">
      <w:pPr>
        <w:pStyle w:val="a3"/>
        <w:numPr>
          <w:ilvl w:val="0"/>
          <w:numId w:val="1"/>
        </w:numPr>
        <w:jc w:val="both"/>
      </w:pPr>
      <w:r>
        <w:t>Υποχρεώσεις έκαστου δικαιούχου απέναντι στη Διαχειριστική Αρχή</w:t>
      </w:r>
      <w:r w:rsidR="00510896">
        <w:t xml:space="preserve">: </w:t>
      </w:r>
    </w:p>
    <w:p w14:paraId="52D4331B" w14:textId="0A01065E" w:rsidR="002E10A9" w:rsidRDefault="00510896" w:rsidP="00B47B3C">
      <w:pPr>
        <w:pStyle w:val="a3"/>
        <w:numPr>
          <w:ilvl w:val="0"/>
          <w:numId w:val="2"/>
        </w:numPr>
        <w:jc w:val="both"/>
      </w:pPr>
      <w:r>
        <w:t xml:space="preserve">υποβολή τεχνικού δελτίου υποέργου και </w:t>
      </w:r>
      <w:r w:rsidR="00AD336E">
        <w:t xml:space="preserve">Τεχνικού </w:t>
      </w:r>
      <w:r w:rsidR="00E91BA6">
        <w:t>Παραρτήματος</w:t>
      </w:r>
      <w:r w:rsidR="001E1D6A">
        <w:t xml:space="preserve"> </w:t>
      </w:r>
      <w:r>
        <w:t>Υλοποίησης με Ίδια Μέσα (</w:t>
      </w:r>
      <w:r w:rsidR="00741C8B">
        <w:t>ΤΠΥΙΜ</w:t>
      </w:r>
      <w:r>
        <w:t>) σε συνέχεια της κοινοποίησης της απόφασης ένταξης</w:t>
      </w:r>
      <w:r w:rsidR="00741C8B">
        <w:t>,</w:t>
      </w:r>
    </w:p>
    <w:p w14:paraId="3854041D" w14:textId="442F780A" w:rsidR="00510896" w:rsidRPr="00AB1964" w:rsidRDefault="00510896" w:rsidP="00B47B3C">
      <w:pPr>
        <w:pStyle w:val="a3"/>
        <w:numPr>
          <w:ilvl w:val="0"/>
          <w:numId w:val="2"/>
        </w:numPr>
        <w:jc w:val="both"/>
        <w:rPr>
          <w:color w:val="000000" w:themeColor="text1"/>
        </w:rPr>
      </w:pPr>
      <w:r>
        <w:t xml:space="preserve">υποβολή Δελτίων Δήλωσης Δαπανών σύμφωνα με όσα ορίζονται στον Οδηγό Υλοποίησης και Εφαρμογής, το Σύστημα </w:t>
      </w:r>
      <w:r w:rsidRPr="00AB1964">
        <w:rPr>
          <w:color w:val="000000" w:themeColor="text1"/>
        </w:rPr>
        <w:t>Διαχείρισης και Ελέγχου και την σχετική Απόφαση</w:t>
      </w:r>
      <w:r w:rsidR="003C1884" w:rsidRPr="00AB1964">
        <w:rPr>
          <w:color w:val="000000" w:themeColor="text1"/>
        </w:rPr>
        <w:t>,</w:t>
      </w:r>
    </w:p>
    <w:p w14:paraId="1EF6B7EF" w14:textId="2B99B574" w:rsidR="00620E7A" w:rsidRPr="00AB1964" w:rsidRDefault="003C1884" w:rsidP="00B47B3C">
      <w:pPr>
        <w:pStyle w:val="a3"/>
        <w:numPr>
          <w:ilvl w:val="0"/>
          <w:numId w:val="2"/>
        </w:numPr>
        <w:jc w:val="both"/>
        <w:rPr>
          <w:color w:val="000000" w:themeColor="text1"/>
        </w:rPr>
      </w:pPr>
      <w:r w:rsidRPr="00AB1964">
        <w:rPr>
          <w:rFonts w:cs="Arial"/>
          <w:color w:val="000000" w:themeColor="text1"/>
        </w:rPr>
        <w:t>ανάληψη ευθύνης</w:t>
      </w:r>
      <w:r w:rsidR="00620E7A" w:rsidRPr="00AB1964">
        <w:rPr>
          <w:rFonts w:cs="Arial"/>
          <w:color w:val="000000" w:themeColor="text1"/>
        </w:rPr>
        <w:t xml:space="preserve"> </w:t>
      </w:r>
      <w:r w:rsidRPr="00AB1964">
        <w:rPr>
          <w:rFonts w:cs="Arial"/>
          <w:color w:val="000000" w:themeColor="text1"/>
        </w:rPr>
        <w:t>τήρησης του</w:t>
      </w:r>
      <w:r w:rsidR="00620E7A" w:rsidRPr="00AB1964">
        <w:rPr>
          <w:rFonts w:cs="Arial"/>
          <w:color w:val="000000" w:themeColor="text1"/>
        </w:rPr>
        <w:t xml:space="preserve"> </w:t>
      </w:r>
      <w:r w:rsidRPr="00AB1964">
        <w:rPr>
          <w:rFonts w:cs="Arial"/>
          <w:color w:val="000000" w:themeColor="text1"/>
        </w:rPr>
        <w:t>συνόλου</w:t>
      </w:r>
      <w:r w:rsidR="00620E7A" w:rsidRPr="00AB1964">
        <w:rPr>
          <w:rFonts w:cs="Arial"/>
          <w:color w:val="000000" w:themeColor="text1"/>
        </w:rPr>
        <w:t xml:space="preserve"> των υποχρεώσεων που απορρέουν από την πρόσκληση και το συνημμένο σε αυτή παράρτημα «Υποχρεώσεις Δικαιούχων».</w:t>
      </w:r>
    </w:p>
    <w:p w14:paraId="6F8FF2CA" w14:textId="47249849" w:rsidR="00510896" w:rsidRDefault="00510896" w:rsidP="00B47B3C">
      <w:pPr>
        <w:pStyle w:val="a3"/>
        <w:numPr>
          <w:ilvl w:val="0"/>
          <w:numId w:val="1"/>
        </w:numPr>
        <w:jc w:val="both"/>
      </w:pPr>
      <w:r w:rsidRPr="00AB1964">
        <w:rPr>
          <w:color w:val="000000" w:themeColor="text1"/>
        </w:rPr>
        <w:t xml:space="preserve">Ορισμός </w:t>
      </w:r>
      <w:r w:rsidR="0086024A">
        <w:rPr>
          <w:color w:val="000000" w:themeColor="text1"/>
        </w:rPr>
        <w:t>Κύριου Δικαιούχου/Συντονιστή</w:t>
      </w:r>
      <w:r w:rsidRPr="00AB1964">
        <w:rPr>
          <w:color w:val="000000" w:themeColor="text1"/>
        </w:rPr>
        <w:t xml:space="preserve"> και περιγραφή των </w:t>
      </w:r>
      <w:r>
        <w:t xml:space="preserve">υποχρεώσεων του. Ο </w:t>
      </w:r>
      <w:r w:rsidR="00240734">
        <w:t>Κύριος Δ</w:t>
      </w:r>
      <w:r>
        <w:t>ικαιούχος</w:t>
      </w:r>
      <w:r w:rsidR="00240734">
        <w:t xml:space="preserve">/Συντονιστής </w:t>
      </w:r>
      <w:r>
        <w:t>αναλαμβάνει την υποβολή όλων των δελτίων μέσω ΟΠΣ σε επίπεδο πράξης</w:t>
      </w:r>
      <w:r w:rsidR="005045B9">
        <w:t>,</w:t>
      </w:r>
      <w:r>
        <w:t xml:space="preserve"> ήτοι </w:t>
      </w:r>
      <w:r w:rsidR="005045B9">
        <w:t xml:space="preserve">του </w:t>
      </w:r>
      <w:r>
        <w:t>Δελτίο</w:t>
      </w:r>
      <w:r w:rsidR="005045B9">
        <w:t>υ</w:t>
      </w:r>
      <w:r>
        <w:t xml:space="preserve"> Επίτευξης Δεικτών</w:t>
      </w:r>
      <w:r w:rsidR="005045B9">
        <w:t xml:space="preserve"> και</w:t>
      </w:r>
      <w:r>
        <w:t xml:space="preserve"> το</w:t>
      </w:r>
      <w:r w:rsidR="005045B9">
        <w:t>υ</w:t>
      </w:r>
      <w:r>
        <w:t xml:space="preserve"> δελτίο</w:t>
      </w:r>
      <w:r w:rsidR="005045B9">
        <w:t>υ</w:t>
      </w:r>
      <w:r>
        <w:t xml:space="preserve"> ολοκλήρωσης</w:t>
      </w:r>
      <w:r w:rsidR="00AB3E78" w:rsidRPr="00AB3E78">
        <w:t>.</w:t>
      </w:r>
      <w:r w:rsidR="00362E94">
        <w:t xml:space="preserve"> </w:t>
      </w:r>
    </w:p>
    <w:p w14:paraId="513E6572" w14:textId="277B3592" w:rsidR="00510896" w:rsidRDefault="008F2D92" w:rsidP="00B47B3C">
      <w:pPr>
        <w:pStyle w:val="a3"/>
        <w:numPr>
          <w:ilvl w:val="0"/>
          <w:numId w:val="1"/>
        </w:numPr>
        <w:jc w:val="both"/>
      </w:pPr>
      <w:r>
        <w:t>Τον προϋπολογισμό έκαστου δικαιούχου</w:t>
      </w:r>
      <w:r w:rsidR="00AB3E78">
        <w:rPr>
          <w:lang w:val="en-US"/>
        </w:rPr>
        <w:t>.</w:t>
      </w:r>
    </w:p>
    <w:p w14:paraId="324363E0" w14:textId="5CC11AB2" w:rsidR="008F2D92" w:rsidRPr="00165A04" w:rsidRDefault="008F2D92" w:rsidP="00B47B3C">
      <w:pPr>
        <w:pStyle w:val="a3"/>
        <w:numPr>
          <w:ilvl w:val="0"/>
          <w:numId w:val="1"/>
        </w:numPr>
        <w:jc w:val="both"/>
      </w:pPr>
      <w:r>
        <w:t xml:space="preserve">Τη διάρκεια ισχύος του συμφωνητικού συνεργασίας και </w:t>
      </w:r>
      <w:r w:rsidRPr="00165A04">
        <w:t xml:space="preserve">τη δέσμευση </w:t>
      </w:r>
      <w:r w:rsidR="00EA6B47" w:rsidRPr="00165A04">
        <w:t>των</w:t>
      </w:r>
      <w:r w:rsidRPr="00165A04">
        <w:t xml:space="preserve"> </w:t>
      </w:r>
      <w:r w:rsidRPr="00165A04">
        <w:t>εταίρων για τη διατήρησή της για χρονικό διάστημα κατ΄ ελάχιστον ίσο με το χρονικό διάστημα της υποβληθείσας πρότασης</w:t>
      </w:r>
      <w:r w:rsidR="00173C93" w:rsidRPr="00165A04">
        <w:t xml:space="preserve"> πλην των περιπτώσεων ανωτέρας βίας. </w:t>
      </w:r>
    </w:p>
    <w:p w14:paraId="794E21EE" w14:textId="772A1546" w:rsidR="00405A0C" w:rsidRDefault="008F2D92" w:rsidP="00B47B3C">
      <w:pPr>
        <w:pStyle w:val="a3"/>
        <w:numPr>
          <w:ilvl w:val="0"/>
          <w:numId w:val="1"/>
        </w:numPr>
        <w:jc w:val="both"/>
      </w:pPr>
      <w:r>
        <w:t xml:space="preserve">Την ρητή δέσμευση έκαστου </w:t>
      </w:r>
      <w:r w:rsidR="007D6BB8">
        <w:t>δικαιούχου</w:t>
      </w:r>
      <w:r>
        <w:t xml:space="preserve"> ότι σε περίπτωση που ανακύψει ζήτημα σύγκρουσης συμφερόντων υπό την έννοια του ορισμού της παρ. να΄ του άρθρου 1, ν.4939/2022</w:t>
      </w:r>
      <w:r w:rsidR="00173C93" w:rsidRPr="00173C93">
        <w:t xml:space="preserve"> </w:t>
      </w:r>
      <w:r w:rsidR="00173C93">
        <w:t>και όπως περιγράφεται στις παρ. 1 και 2 του άρθρου 66ΙΣΤ, τα πρόσωπα που αναφέρονται στην παρ. 1</w:t>
      </w:r>
      <w:r w:rsidR="00173C93" w:rsidRPr="00173C93">
        <w:t xml:space="preserve"> </w:t>
      </w:r>
      <w:r w:rsidR="00173C93">
        <w:t xml:space="preserve">του άρθρου 66ΙΣΤ θα το γνωστοποιούν αμελλητί και εγγράφως στην </w:t>
      </w:r>
      <w:r w:rsidR="000D1EF5">
        <w:t xml:space="preserve">Μονάδα Θεσμικής Προστασίας της </w:t>
      </w:r>
      <w:r w:rsidR="00173C93">
        <w:t xml:space="preserve">ΕΓΠΑΑ </w:t>
      </w:r>
      <w:r w:rsidR="00173C93" w:rsidRPr="00165A04">
        <w:t>και τη ΔΑ</w:t>
      </w:r>
      <w:r w:rsidR="00173C93">
        <w:t xml:space="preserve"> προκειμένου να ληφθούν τα αναγκαία μέτρα. Για την τεκμηρίωση της δέσμευσης αυτής </w:t>
      </w:r>
      <w:r w:rsidR="00652AA4">
        <w:t>κατά την υποβολή της πρότασης ο νόμιμος εκπρόσωπος κάθε φορέα</w:t>
      </w:r>
      <w:r w:rsidR="00D742DA">
        <w:t xml:space="preserve"> οφείλει να υποβάλει υπεύθυνη δήλωση του ν.1599/1986 θεωρημένη κατά τον προσήκοντα τρόπο</w:t>
      </w:r>
      <w:r w:rsidR="007A05A6">
        <w:t xml:space="preserve"> (από αρμόδια αρχή ή ηλεκτρονικά μέσω της πλατφόρμας </w:t>
      </w:r>
      <w:hyperlink r:id="rId8" w:history="1">
        <w:r w:rsidR="007A05A6" w:rsidRPr="002121E2">
          <w:rPr>
            <w:rStyle w:val="-"/>
            <w:lang w:val="en-US"/>
          </w:rPr>
          <w:t>www</w:t>
        </w:r>
        <w:r w:rsidR="007A05A6" w:rsidRPr="00654D46">
          <w:rPr>
            <w:rStyle w:val="-"/>
          </w:rPr>
          <w:t>.</w:t>
        </w:r>
        <w:r w:rsidR="007A05A6" w:rsidRPr="002121E2">
          <w:rPr>
            <w:rStyle w:val="-"/>
            <w:lang w:val="en-US"/>
          </w:rPr>
          <w:t>gov</w:t>
        </w:r>
        <w:r w:rsidR="007A05A6" w:rsidRPr="00654D46">
          <w:rPr>
            <w:rStyle w:val="-"/>
          </w:rPr>
          <w:t>.</w:t>
        </w:r>
        <w:r w:rsidR="007A05A6" w:rsidRPr="002121E2">
          <w:rPr>
            <w:rStyle w:val="-"/>
            <w:lang w:val="en-US"/>
          </w:rPr>
          <w:t>gr</w:t>
        </w:r>
      </w:hyperlink>
      <w:r w:rsidR="007A05A6">
        <w:t xml:space="preserve">) δια της οποίας θα δηλώνεται </w:t>
      </w:r>
      <w:r w:rsidR="00F02940">
        <w:t>ότι ο φορέας δεσμεύεται να τηρήσει το θεσμικό παροχής υπηρεσιών επιτροπείας, ότι σε περίπτωση που ανακύψει ζήτημα σύγκρουσης συμφερόντων υπό την έννοια του ορισμού της περ</w:t>
      </w:r>
      <w:r w:rsidR="00CE79D2">
        <w:t>. να’ του άρθρου 1 του ν.4939/2022 ο φορέας θα υποβάλει παραίτηση, καθ</w:t>
      </w:r>
      <w:r w:rsidR="00A2737A">
        <w:t>ώς και ότι αναλαμβάνει την υποχρέωση να εκπονήσει σύστημα εσωτερικών διαδικασιών ελέγχου</w:t>
      </w:r>
      <w:r w:rsidR="00243E14">
        <w:t xml:space="preserve"> πρόληψης σύγκρουσης συμφερόντων, </w:t>
      </w:r>
      <w:r w:rsidR="00646E57">
        <w:t xml:space="preserve">το οποίο θα τεθεί υπόψιν της ΔΑ κατά τον χρόνο υποβολής του πρώτου ΔΔΔ. Περαιτέρω, κατά τον χρόνο υποβολής </w:t>
      </w:r>
      <w:r w:rsidR="00173C93">
        <w:t xml:space="preserve">του </w:t>
      </w:r>
      <w:r w:rsidR="00646E57">
        <w:t xml:space="preserve">πρώτου </w:t>
      </w:r>
      <w:r w:rsidR="00173C93">
        <w:t>Δελτίου Δήλωσης Δαπανών</w:t>
      </w:r>
      <w:r w:rsidR="00173C93">
        <w:t xml:space="preserve"> </w:t>
      </w:r>
      <w:r w:rsidR="00405A0C">
        <w:t>και σε κάθε μηνιαία αναφορά οφείλει να προσκομίζεται:</w:t>
      </w:r>
    </w:p>
    <w:p w14:paraId="08C693F1" w14:textId="77777777" w:rsidR="001B3A1C" w:rsidRDefault="00405A0C" w:rsidP="001B3A1C">
      <w:pPr>
        <w:pStyle w:val="a3"/>
        <w:jc w:val="both"/>
      </w:pPr>
      <w:r>
        <w:t xml:space="preserve">(α) Υπεύθυνη </w:t>
      </w:r>
      <w:r w:rsidR="001B3A1C">
        <w:t xml:space="preserve">Δήλωση του Ν. 1599/1986, του νόμιμου εκπροσώπου και θεωρημένη κατά τον προσήκοντα τρόπο (από αρμόδια αρχή ή ηλεκτρονικά μέσω της πλατφόρμας www.gov.gr ) διά της οποίας θα δηλώνεται ότι ο φορέας τηρεί το θεσμικό πλαίσιο παροχής υπηρεσιών επιτροπείας και ότι σε περίπτωση που ανακύψει ζήτημα σύγκρουσης συμφερόντων υπό την έννοια του ορισμού της περ. να΄ του άρθρου 1 του ν.4939/2022 ο φορέας θα υποβάλει παραίτηση. Στην υπεύθυνη δήλωση οφείλει να περιλαμβάνεται υποχρεωτικά η διαβεβαίωση του νόμιμου εκπροσώπου εκάστου ΦΠΥΕ, ότι οι συντονιστές και οι εντεταλμένοι επίτροποι έχουν καταθέσει  στον ΦΠΥΕ υπεύθυνη δήλωση περί της προσήκουσας εκτέλεσης των καθηκόντων τους και περί μη συνδρομής </w:t>
      </w:r>
      <w:r w:rsidR="001B3A1C">
        <w:lastRenderedPageBreak/>
        <w:t>στο πρόσωπό τους κωλύματος, ασυμβιβάστου ή κατάστασης σύγκρουσης συμφερόντων, δεσμευόμενοι ρητά οι μεν συντονιστές ότι θα ασκούν με επιμέλεια τα καθήκοντά τους προλαμβάνοντας τις καταστάσεις συγκρούσεων συμφερόντων, οι δε εντεταλμένοι ότι θα συνεργάζονται ειλικρινώς με τον συντονιστή προκειμένου να αποφεύγεται κάθε πιθανή σύγκρουση συμφερόντων, καθώς και ότι αμφότεροι θα γνωστοποιούν αμελλητί και εγγράφως στη Μονάδα Θεσμικής Προστασίας της Ειδικής Γραμματείας Προστασίας Ασυνόδευτων Ανηλίκων τυχόν σύγκρουση συμφερόντων των ιδίων ή των συγγενικών τους προσώπων, σύμφωνα με το άρθρο 66ΙΣΤ του ν.4939/22.</w:t>
      </w:r>
    </w:p>
    <w:p w14:paraId="45263973" w14:textId="705192FB" w:rsidR="001B3A1C" w:rsidRDefault="001B3A1C" w:rsidP="001B3A1C">
      <w:pPr>
        <w:pStyle w:val="a3"/>
        <w:jc w:val="both"/>
      </w:pPr>
      <w:r>
        <w:t xml:space="preserve">(β)Υπεύθυνη Δήλωση του </w:t>
      </w:r>
      <w:r w:rsidR="004D1009">
        <w:t>ν</w:t>
      </w:r>
      <w:r>
        <w:t xml:space="preserve">. 1599/1986, των μελών του οργάνου διοίκησης του φορέα και θεωρημένη κατά τον προσήκοντα τρόπο (από αρμόδια αρχή ή ηλεκτρονικά μέσω της πλατφόρμας www.gov.gr) περί της προσήκουσας εκτέλεσης των καθηκόντων τους και περί μη συνδρομής στο πρόσωπό τους κωλύματος, ασυμβιβάστου ή κατάστασης σύγκρουσης συμφερόντων, δεσμευόμενοι ρητά ότι </w:t>
      </w:r>
      <w:bookmarkStart w:id="0" w:name="_Hlk135390810"/>
      <w:r>
        <w:t>θα γνωστοποιούν αμελλητί και εγγράφως στη Μονάδα Θεσμικής Προστασίας της Ειδικής Γραμματείας Προστασίας Ασυνόδευτων Ανηλίκων, τυχόν σύγκρουση συμφερόντων των ιδίων ή των συγγενικών τους προσώπων, σύμφωνα με το άρθρο 66ΙΣΤ του ν.4939/2</w:t>
      </w:r>
      <w:bookmarkEnd w:id="0"/>
      <w:r>
        <w:t>022.</w:t>
      </w:r>
    </w:p>
    <w:p w14:paraId="349E929D" w14:textId="05DEB8C3" w:rsidR="00510896" w:rsidRDefault="00DC3B0B" w:rsidP="00B47B3C">
      <w:pPr>
        <w:pStyle w:val="a3"/>
        <w:numPr>
          <w:ilvl w:val="0"/>
          <w:numId w:val="1"/>
        </w:numPr>
        <w:jc w:val="both"/>
      </w:pPr>
      <w:r>
        <w:t xml:space="preserve">Τα πρόσωπα και τα στοιχεία επικοινωνίας τους για το </w:t>
      </w:r>
      <w:r w:rsidR="00654D46">
        <w:t>συγκεκριμένο</w:t>
      </w:r>
      <w:r>
        <w:t xml:space="preserve"> πλαίσιο συνεργασίας</w:t>
      </w:r>
      <w:r w:rsidR="00654D46">
        <w:t>.</w:t>
      </w:r>
    </w:p>
    <w:p w14:paraId="2788AC0A" w14:textId="4C62B541" w:rsidR="00DC3B0B" w:rsidRPr="002E10A9" w:rsidRDefault="00DC3B0B" w:rsidP="00B47B3C">
      <w:pPr>
        <w:pStyle w:val="a3"/>
        <w:numPr>
          <w:ilvl w:val="0"/>
          <w:numId w:val="1"/>
        </w:numPr>
        <w:jc w:val="both"/>
      </w:pPr>
      <w:r>
        <w:t>Τον τρόπο επίλυσης τυχόν διαφορών</w:t>
      </w:r>
      <w:r w:rsidR="00654D46">
        <w:t>.</w:t>
      </w:r>
      <w:r>
        <w:t xml:space="preserve"> </w:t>
      </w:r>
    </w:p>
    <w:sectPr w:rsidR="00DC3B0B" w:rsidRPr="002E10A9" w:rsidSect="00AB3E78">
      <w:pgSz w:w="11906" w:h="16838"/>
      <w:pgMar w:top="1440" w:right="1286" w:bottom="1440"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8E2095"/>
    <w:multiLevelType w:val="hybridMultilevel"/>
    <w:tmpl w:val="7908A57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7366594E"/>
    <w:multiLevelType w:val="hybridMultilevel"/>
    <w:tmpl w:val="DD721F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308241581">
    <w:abstractNumId w:val="1"/>
  </w:num>
  <w:num w:numId="2" w16cid:durableId="1332873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0A9"/>
    <w:rsid w:val="000A6D39"/>
    <w:rsid w:val="000D1EF5"/>
    <w:rsid w:val="00165A04"/>
    <w:rsid w:val="00173C93"/>
    <w:rsid w:val="001B3A1C"/>
    <w:rsid w:val="001E1D6A"/>
    <w:rsid w:val="00240734"/>
    <w:rsid w:val="00243E14"/>
    <w:rsid w:val="002453FF"/>
    <w:rsid w:val="002E10A9"/>
    <w:rsid w:val="00344918"/>
    <w:rsid w:val="00357F27"/>
    <w:rsid w:val="00362E94"/>
    <w:rsid w:val="003C1884"/>
    <w:rsid w:val="003D1A00"/>
    <w:rsid w:val="00405A0C"/>
    <w:rsid w:val="004D1009"/>
    <w:rsid w:val="005045B9"/>
    <w:rsid w:val="00510896"/>
    <w:rsid w:val="005A5555"/>
    <w:rsid w:val="00620E7A"/>
    <w:rsid w:val="00646E57"/>
    <w:rsid w:val="00652AA4"/>
    <w:rsid w:val="00654D46"/>
    <w:rsid w:val="00741C8B"/>
    <w:rsid w:val="007A05A6"/>
    <w:rsid w:val="007D6BB8"/>
    <w:rsid w:val="007F3AA7"/>
    <w:rsid w:val="0086024A"/>
    <w:rsid w:val="008733AF"/>
    <w:rsid w:val="008E4CF2"/>
    <w:rsid w:val="008F2D92"/>
    <w:rsid w:val="00944E42"/>
    <w:rsid w:val="009C0F84"/>
    <w:rsid w:val="00A2737A"/>
    <w:rsid w:val="00A56B39"/>
    <w:rsid w:val="00AB1964"/>
    <w:rsid w:val="00AB3E78"/>
    <w:rsid w:val="00AD336E"/>
    <w:rsid w:val="00B46C19"/>
    <w:rsid w:val="00B47B3C"/>
    <w:rsid w:val="00CE79D2"/>
    <w:rsid w:val="00D0445D"/>
    <w:rsid w:val="00D742DA"/>
    <w:rsid w:val="00DC3B0B"/>
    <w:rsid w:val="00E91BA6"/>
    <w:rsid w:val="00EA6B47"/>
    <w:rsid w:val="00F02940"/>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A11B4"/>
  <w15:chartTrackingRefBased/>
  <w15:docId w15:val="{38167906-B74B-4A6A-8B91-FA2C467C7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10A9"/>
    <w:pPr>
      <w:ind w:left="720"/>
      <w:contextualSpacing/>
    </w:pPr>
  </w:style>
  <w:style w:type="paragraph" w:styleId="a4">
    <w:name w:val="Revision"/>
    <w:hidden/>
    <w:uiPriority w:val="99"/>
    <w:semiHidden/>
    <w:rsid w:val="001E1D6A"/>
    <w:pPr>
      <w:spacing w:after="0" w:line="240" w:lineRule="auto"/>
    </w:pPr>
  </w:style>
  <w:style w:type="character" w:styleId="-">
    <w:name w:val="Hyperlink"/>
    <w:basedOn w:val="a0"/>
    <w:uiPriority w:val="99"/>
    <w:unhideWhenUsed/>
    <w:rsid w:val="000A6D39"/>
    <w:rPr>
      <w:color w:val="0563C1" w:themeColor="hyperlink"/>
      <w:u w:val="single"/>
    </w:rPr>
  </w:style>
  <w:style w:type="character" w:styleId="a5">
    <w:name w:val="Unresolved Mention"/>
    <w:basedOn w:val="a0"/>
    <w:uiPriority w:val="99"/>
    <w:semiHidden/>
    <w:unhideWhenUsed/>
    <w:rsid w:val="000A6D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10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gr"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6" ma:contentTypeDescription="Create a new document." ma:contentTypeScope="" ma:versionID="09e961851563707e9163439b3860eece">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be71c2ed390a99162b3a51ce5bdf5ac"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0E04E6-BF06-47BF-A218-7B751E1E588D}">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C60F90FB-6C62-48C6-B6D9-4E5E9218D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419C81-A73B-4157-84AE-86290A446D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798</Words>
  <Characters>4315</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Χρυσούλα Κορομηλά</dc:creator>
  <cp:keywords/>
  <dc:description/>
  <cp:lastModifiedBy>Ευαγγελία Καπινιάρη</cp:lastModifiedBy>
  <cp:revision>13</cp:revision>
  <dcterms:created xsi:type="dcterms:W3CDTF">2023-05-15T15:27:00Z</dcterms:created>
  <dcterms:modified xsi:type="dcterms:W3CDTF">2023-05-22T14:56:00Z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