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000000" w14:paraId="66078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3F459B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/>
                <w:color w:val="000000"/>
              </w:rPr>
              <w:t xml:space="preserve"> </w:t>
            </w:r>
            <w:r>
              <w:rPr>
                <w:rFonts w:ascii="Arial" w:hAnsi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5022E71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ID:65311060</w:t>
            </w:r>
          </w:p>
        </w:tc>
      </w:tr>
    </w:tbl>
    <w:p w14:paraId="49EE39B8" w14:textId="77777777" w:rsidR="00000000" w:rsidRDefault="00000000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652"/>
        <w:gridCol w:w="4342"/>
      </w:tblGrid>
      <w:tr w:rsidR="00000000" w14:paraId="6985A4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29113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000000" w14:paraId="549D22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0C325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Κωδικός Δείκτη : O.1.6</w:t>
            </w:r>
          </w:p>
        </w:tc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F3AF6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Id</w:t>
            </w:r>
            <w:proofErr w:type="spellEnd"/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Μοναδικός :  0</w:t>
            </w:r>
          </w:p>
        </w:tc>
      </w:tr>
      <w:tr w:rsidR="00000000" w14:paraId="644B60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7F34F" w14:textId="3B2513AF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Περιγραφή :  Αριθμός θαλάσσιων μέσων μεταφοράς που αποκτήθηκαν</w:t>
            </w:r>
            <w:r w:rsidR="0033411C">
              <w:rPr>
                <w:rFonts w:ascii="Arial" w:hAnsi="Arial"/>
                <w:color w:val="000000"/>
                <w:sz w:val="18"/>
                <w:szCs w:val="18"/>
              </w:rPr>
              <w:t>.</w:t>
            </w:r>
          </w:p>
          <w:p w14:paraId="39C2C696" w14:textId="1EF93C52" w:rsidR="0033411C" w:rsidRDefault="0033411C" w:rsidP="00334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Ως θαλάσσιο μέσο μεταφοράς νοείται κάθε επανδρωμένο ή όχι στοιχείο για τον έλεγχο των συνόρων, ιδίως αυτά που προορίζονται για επιτήρηση των συνόρων σύμφωνα με τον Κώδικα 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Schengen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και το 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EUROSUR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, και σε συμμόρφωση με τα τεχνικά και επιχειρησιακά 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standards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, όπως αυτά ορίζονται από τον Οργανισμό </w:t>
            </w:r>
            <w:r>
              <w:rPr>
                <w:rFonts w:ascii="Arial" w:hAnsi="Arial"/>
                <w:color w:val="000000"/>
                <w:sz w:val="18"/>
                <w:szCs w:val="18"/>
                <w:lang w:val="en-US"/>
              </w:rPr>
              <w:t>EBCG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, όπου αυτό εφαρμόζεται.</w:t>
            </w:r>
          </w:p>
          <w:p w14:paraId="2B3D289A" w14:textId="5CBB849B" w:rsidR="0033411C" w:rsidRDefault="0033411C" w:rsidP="0033411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Πηγή : Κώδικας </w:t>
            </w:r>
            <w:r>
              <w:rPr>
                <w:lang w:val="en-US"/>
              </w:rPr>
              <w:t>Schengen</w:t>
            </w:r>
            <w:r>
              <w:t xml:space="preserve"> : </w:t>
            </w:r>
            <w:r>
              <w:t>Άρθρο</w:t>
            </w:r>
            <w:r>
              <w:t xml:space="preserve"> 12(2)</w:t>
            </w:r>
            <w:r>
              <w:t xml:space="preserve"> σχετικά με την επιτήρηση των συνόρων</w:t>
            </w:r>
            <w:r>
              <w:t xml:space="preserve">, 13(1) </w:t>
            </w:r>
            <w:r w:rsidR="00B372A0">
              <w:t>για τον βασικό στόχο επιτήρησης συνόρων</w:t>
            </w:r>
            <w:r>
              <w:t xml:space="preserve">, 13(2) </w:t>
            </w:r>
            <w:r w:rsidR="00B372A0">
              <w:t>σχετικά με τις κινητές μονάδες που διεξάγουν την επιτήρηση των συνόρων</w:t>
            </w:r>
            <w:r>
              <w:t>.</w:t>
            </w:r>
            <w:r w:rsidR="00B372A0">
              <w:t xml:space="preserve"> Κανονισμός</w:t>
            </w:r>
            <w:r>
              <w:t xml:space="preserve"> 2019/1896 (</w:t>
            </w:r>
            <w:r>
              <w:rPr>
                <w:lang w:val="en-US"/>
              </w:rPr>
              <w:t>EBCG</w:t>
            </w:r>
            <w:r>
              <w:t xml:space="preserve"> </w:t>
            </w:r>
            <w:r>
              <w:rPr>
                <w:lang w:val="en-US"/>
              </w:rPr>
              <w:t>Regulation</w:t>
            </w:r>
            <w:r>
              <w:t xml:space="preserve">): </w:t>
            </w:r>
            <w:r w:rsidR="00B372A0">
              <w:t>Άρθρο</w:t>
            </w:r>
            <w:r>
              <w:t xml:space="preserve"> 19</w:t>
            </w:r>
            <w:r w:rsidR="00B372A0">
              <w:t xml:space="preserve"> επί του πεδίου εφαρμογής του</w:t>
            </w:r>
            <w:r>
              <w:t xml:space="preserve"> </w:t>
            </w:r>
            <w:r>
              <w:rPr>
                <w:lang w:val="en-US"/>
              </w:rPr>
              <w:t>EUROSUR</w:t>
            </w:r>
            <w:r>
              <w:t xml:space="preserve">, </w:t>
            </w:r>
            <w:r w:rsidR="00B372A0">
              <w:t xml:space="preserve"> Άρθρο</w:t>
            </w:r>
            <w:r>
              <w:t xml:space="preserve"> 16 </w:t>
            </w:r>
            <w:r w:rsidR="00B372A0">
              <w:t>και άρθρο</w:t>
            </w:r>
            <w:r>
              <w:t xml:space="preserve"> 64. </w:t>
            </w:r>
            <w:r w:rsidR="00B372A0">
              <w:t>Ο δείκτης αυτός καλύπτει θαλάσσια μέσα νοικιασμένα ή μισθωμένα.</w:t>
            </w:r>
          </w:p>
        </w:tc>
      </w:tr>
      <w:tr w:rsidR="00000000" w14:paraId="1114F6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C56AE" w14:textId="5CECC4F1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Μονάδα μέτρησης :  </w:t>
            </w:r>
          </w:p>
        </w:tc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561FF5" w14:textId="34DDC291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Αριθμός</w:t>
            </w:r>
            <w:r w:rsidR="0033411C">
              <w:rPr>
                <w:rFonts w:ascii="Arial" w:hAnsi="Arial"/>
                <w:color w:val="000000"/>
                <w:sz w:val="18"/>
                <w:szCs w:val="18"/>
              </w:rPr>
              <w:t xml:space="preserve"> : Απόλυτος αριθμός θαλασσίων μέσων μεταφοράς</w:t>
            </w:r>
          </w:p>
        </w:tc>
      </w:tr>
      <w:tr w:rsidR="00000000" w14:paraId="5716DC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42BB43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Είδος Δείκτη : 1 Εκροών</w:t>
            </w:r>
          </w:p>
        </w:tc>
      </w:tr>
      <w:tr w:rsidR="00000000" w14:paraId="1776AD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32CB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Μέθοδος Υπολογισμού :  </w:t>
            </w:r>
          </w:p>
        </w:tc>
      </w:tr>
      <w:tr w:rsidR="00000000" w14:paraId="0CBAB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F9B5A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000000" w14:paraId="51E0D5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5EF58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Ισχύς :  </w:t>
            </w:r>
          </w:p>
        </w:tc>
        <w:tc>
          <w:tcPr>
            <w:tcW w:w="4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FDDBA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Έναρξη ισχύος :  </w:t>
            </w:r>
          </w:p>
        </w:tc>
      </w:tr>
      <w:tr w:rsidR="00000000" w14:paraId="636F9F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67F004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000000" w14:paraId="67A619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C3D0CE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Κωδικός </w:t>
            </w:r>
          </w:p>
        </w:tc>
        <w:tc>
          <w:tcPr>
            <w:tcW w:w="7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D24CBAA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Περιγραφή </w:t>
            </w:r>
          </w:p>
        </w:tc>
      </w:tr>
      <w:tr w:rsidR="00000000" w14:paraId="39FD62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1E5E00" w14:textId="2B7FF33D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6</w:t>
            </w:r>
            <w:r w:rsidR="0033411C">
              <w:rPr>
                <w:rFonts w:ascii="Arial" w:hAnsi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71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9187E" w14:textId="7FD3BC1B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ΜΔΣΘ</w:t>
            </w:r>
            <w:r w:rsidR="0033411C">
              <w:rPr>
                <w:rFonts w:ascii="Arial" w:hAnsi="Arial"/>
                <w:color w:val="000000"/>
                <w:sz w:val="18"/>
                <w:szCs w:val="18"/>
              </w:rPr>
              <w:t xml:space="preserve"> </w:t>
            </w:r>
            <w:r w:rsidR="0033411C">
              <w:rPr>
                <w:rFonts w:ascii="Arial" w:hAnsi="Arial"/>
                <w:color w:val="000000"/>
                <w:sz w:val="18"/>
                <w:szCs w:val="18"/>
              </w:rPr>
              <w:t>Μέσο Χρηματοδοτικής Στήριξης για τη Διαχείριση των Συνόρων και την Πολιτική Θεωρήσεων του Ταμείου για την Ολοκληρωμένη Διαχείριση των Συνόρων</w:t>
            </w:r>
          </w:p>
        </w:tc>
      </w:tr>
      <w:tr w:rsidR="00000000" w14:paraId="5F8245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8AE3DB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000000" w14:paraId="6A20AF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B176A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000000" w14:paraId="6545B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F0A71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Διάσταση Φύλου :  </w:t>
            </w:r>
          </w:p>
        </w:tc>
      </w:tr>
      <w:tr w:rsidR="00000000" w14:paraId="6061C8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B3662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Μέτρηση Δείκτη ανά πράξη:  </w:t>
            </w:r>
          </w:p>
        </w:tc>
      </w:tr>
      <w:tr w:rsidR="00000000" w14:paraId="527610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52A5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Ελάχιστη τιμή ανά πράξη : </w:t>
            </w:r>
          </w:p>
        </w:tc>
      </w:tr>
      <w:tr w:rsidR="00000000" w14:paraId="10740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59DCB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Μέγιστη τιμή ανά πράξη : </w:t>
            </w:r>
          </w:p>
        </w:tc>
      </w:tr>
      <w:tr w:rsidR="00000000" w14:paraId="3F4BA9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565D7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Δεκαδικά Δείκτη ανά πράξη : OXI</w:t>
            </w:r>
          </w:p>
        </w:tc>
      </w:tr>
      <w:tr w:rsidR="00000000" w14:paraId="7412E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AC610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 </w:t>
            </w:r>
          </w:p>
        </w:tc>
      </w:tr>
      <w:tr w:rsidR="00000000" w14:paraId="5DE078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B4486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Δείκτης μακροπρόθεσμου αποτελέσματος :  </w:t>
            </w:r>
          </w:p>
        </w:tc>
      </w:tr>
      <w:tr w:rsidR="00000000" w14:paraId="26D6E1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7822A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Υπολογιζόμενος βάση απογραφικών : OXI</w:t>
            </w:r>
          </w:p>
        </w:tc>
      </w:tr>
      <w:tr w:rsidR="00000000" w14:paraId="2423B2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F3E3F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Συχνότητα Μέτρησης :   </w:t>
            </w:r>
          </w:p>
        </w:tc>
      </w:tr>
      <w:tr w:rsidR="00000000" w14:paraId="125A20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9334B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Τιμή επίτευξης :  </w:t>
            </w:r>
          </w:p>
        </w:tc>
      </w:tr>
      <w:tr w:rsidR="00000000" w14:paraId="20BDB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9AEE89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Πηγή Στοιχείων:   </w:t>
            </w:r>
          </w:p>
        </w:tc>
      </w:tr>
      <w:tr w:rsidR="00000000" w14:paraId="1B48CC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3CC470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Σχόλια:   </w:t>
            </w:r>
          </w:p>
        </w:tc>
      </w:tr>
      <w:tr w:rsidR="00000000" w14:paraId="16EAB5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EADB45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Σχόλια Καταχώρισης :  </w:t>
            </w:r>
          </w:p>
        </w:tc>
      </w:tr>
      <w:tr w:rsidR="00000000" w14:paraId="211014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4FCA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000000" w14:paraId="020097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F63FF7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000000" w14:paraId="4B57BC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6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C6F952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000000" w14:paraId="038F11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EF24EC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Υπό επεξεργασία</w:t>
            </w:r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8624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</w:tr>
      <w:tr w:rsidR="00000000" w14:paraId="22B9AF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8D7EE8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color w:val="000000"/>
                <w:sz w:val="18"/>
                <w:szCs w:val="18"/>
              </w:rPr>
              <w:t>Ελεγμένo</w:t>
            </w:r>
            <w:proofErr w:type="spellEnd"/>
          </w:p>
        </w:tc>
        <w:tc>
          <w:tcPr>
            <w:tcW w:w="4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4A4EB1" w14:textId="77777777" w:rsidR="00000000" w:rsidRDefault="0000000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>06/12/2022</w:t>
            </w:r>
          </w:p>
        </w:tc>
      </w:tr>
    </w:tbl>
    <w:p w14:paraId="489EBF7C" w14:textId="77777777" w:rsidR="00794F20" w:rsidRDefault="00794F20">
      <w:pPr>
        <w:widowControl w:val="0"/>
        <w:autoSpaceDE w:val="0"/>
        <w:autoSpaceDN w:val="0"/>
        <w:adjustRightInd w:val="0"/>
        <w:spacing w:after="200" w:line="276" w:lineRule="auto"/>
        <w:ind w:left="120" w:right="114"/>
        <w:rPr>
          <w:rFonts w:ascii="Arial" w:hAnsi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sectPr w:rsidR="00794F20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52776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21A4F"/>
    <w:rsid w:val="00221A4F"/>
    <w:rsid w:val="0033411C"/>
    <w:rsid w:val="00794F20"/>
    <w:rsid w:val="00B3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7E979"/>
  <w14:defaultImageDpi w14:val="0"/>
  <w15:docId w15:val="{47D62835-284D-4AD8-9219-A155DBA5A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Arial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Βασιλική Ευθυμιάδου</cp:lastModifiedBy>
  <cp:revision>3</cp:revision>
  <dcterms:created xsi:type="dcterms:W3CDTF">2023-02-08T09:58:00Z</dcterms:created>
  <dcterms:modified xsi:type="dcterms:W3CDTF">2023-02-08T10:12:00Z</dcterms:modified>
</cp:coreProperties>
</file>